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907" w:rsidRPr="006B5A95" w:rsidRDefault="00E60907" w:rsidP="00E60907">
      <w:pPr>
        <w:widowControl w:val="0"/>
        <w:jc w:val="right"/>
        <w:rPr>
          <w:rFonts w:asciiTheme="minorHAnsi" w:hAnsiTheme="minorHAnsi" w:cstheme="minorHAnsi"/>
          <w:b/>
          <w:sz w:val="22"/>
          <w:szCs w:val="22"/>
          <w:lang w:val="es-MX"/>
        </w:rPr>
      </w:pPr>
      <w:bookmarkStart w:id="0" w:name="_GoBack"/>
      <w:bookmarkEnd w:id="0"/>
      <w:r w:rsidRPr="002B1045">
        <w:rPr>
          <w:rFonts w:asciiTheme="minorHAnsi" w:hAnsiTheme="minorHAnsi" w:cstheme="minorHAnsi"/>
          <w:b/>
          <w:sz w:val="22"/>
          <w:szCs w:val="22"/>
          <w:lang w:val="es-MX"/>
        </w:rPr>
        <w:t xml:space="preserve">México, D.F., a </w:t>
      </w:r>
      <w:r>
        <w:rPr>
          <w:rFonts w:asciiTheme="minorHAnsi" w:hAnsiTheme="minorHAnsi" w:cstheme="minorHAnsi"/>
          <w:b/>
          <w:sz w:val="22"/>
          <w:szCs w:val="22"/>
          <w:lang w:val="es-MX"/>
        </w:rPr>
        <w:t>1</w:t>
      </w:r>
      <w:r w:rsidR="00E76FD4">
        <w:rPr>
          <w:rFonts w:asciiTheme="minorHAnsi" w:hAnsiTheme="minorHAnsi" w:cstheme="minorHAnsi"/>
          <w:b/>
          <w:sz w:val="22"/>
          <w:szCs w:val="22"/>
          <w:lang w:val="es-MX"/>
        </w:rPr>
        <w:t>8</w:t>
      </w:r>
      <w:r w:rsidRPr="002B1045">
        <w:rPr>
          <w:rFonts w:asciiTheme="minorHAnsi" w:hAnsiTheme="minorHAnsi" w:cstheme="minorHAnsi"/>
          <w:b/>
          <w:sz w:val="22"/>
          <w:szCs w:val="22"/>
          <w:lang w:val="es-MX"/>
        </w:rPr>
        <w:t xml:space="preserve"> de ju</w:t>
      </w:r>
      <w:r>
        <w:rPr>
          <w:rFonts w:asciiTheme="minorHAnsi" w:hAnsiTheme="minorHAnsi" w:cstheme="minorHAnsi"/>
          <w:b/>
          <w:sz w:val="22"/>
          <w:szCs w:val="22"/>
          <w:lang w:val="es-MX"/>
        </w:rPr>
        <w:t>l</w:t>
      </w:r>
      <w:r w:rsidRPr="002B1045">
        <w:rPr>
          <w:rFonts w:asciiTheme="minorHAnsi" w:hAnsiTheme="minorHAnsi" w:cstheme="minorHAnsi"/>
          <w:b/>
          <w:sz w:val="22"/>
          <w:szCs w:val="22"/>
          <w:lang w:val="es-MX"/>
        </w:rPr>
        <w:t>io de 2013.</w:t>
      </w:r>
    </w:p>
    <w:p w:rsidR="00E60907" w:rsidRPr="006B5A95" w:rsidRDefault="00E60907" w:rsidP="00E60907">
      <w:pPr>
        <w:widowControl w:val="0"/>
        <w:jc w:val="right"/>
        <w:rPr>
          <w:rFonts w:asciiTheme="minorHAnsi" w:hAnsiTheme="minorHAnsi" w:cstheme="minorHAnsi"/>
          <w:b/>
          <w:sz w:val="22"/>
          <w:szCs w:val="22"/>
          <w:lang w:val="es-MX"/>
        </w:rPr>
      </w:pPr>
    </w:p>
    <w:p w:rsidR="00E60907" w:rsidRPr="006B5A95" w:rsidRDefault="00E60907" w:rsidP="00E60907">
      <w:pPr>
        <w:widowControl w:val="0"/>
        <w:rPr>
          <w:rFonts w:asciiTheme="minorHAnsi" w:hAnsiTheme="minorHAnsi" w:cstheme="minorHAnsi"/>
          <w:b/>
          <w:sz w:val="22"/>
          <w:szCs w:val="22"/>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E60907" w:rsidRPr="00E90F64" w:rsidTr="000D3EC2">
        <w:tc>
          <w:tcPr>
            <w:tcW w:w="5495" w:type="dxa"/>
          </w:tcPr>
          <w:p w:rsidR="00E60907" w:rsidRDefault="00E60907" w:rsidP="000D3EC2">
            <w:pPr>
              <w:widowControl w:val="0"/>
              <w:jc w:val="both"/>
              <w:rPr>
                <w:rFonts w:asciiTheme="minorHAnsi" w:hAnsiTheme="minorHAnsi" w:cstheme="minorHAnsi"/>
                <w:b/>
                <w:lang w:val="es-MX"/>
              </w:rPr>
            </w:pPr>
            <w:r w:rsidRPr="006B5A95">
              <w:rPr>
                <w:rFonts w:asciiTheme="minorHAnsi" w:hAnsiTheme="minorHAnsi" w:cstheme="minorHAnsi"/>
                <w:b/>
                <w:lang w:val="es-MX"/>
              </w:rPr>
              <w:t>A</w:t>
            </w:r>
            <w:r>
              <w:rPr>
                <w:rFonts w:asciiTheme="minorHAnsi" w:hAnsiTheme="minorHAnsi" w:cstheme="minorHAnsi"/>
                <w:b/>
                <w:lang w:val="es-MX"/>
              </w:rPr>
              <w:t xml:space="preserve"> </w:t>
            </w:r>
            <w:r w:rsidRPr="006B5A95">
              <w:rPr>
                <w:rFonts w:asciiTheme="minorHAnsi" w:hAnsiTheme="minorHAnsi" w:cstheme="minorHAnsi"/>
                <w:b/>
                <w:lang w:val="es-MX"/>
              </w:rPr>
              <w:t>LOS</w:t>
            </w:r>
            <w:r>
              <w:rPr>
                <w:rFonts w:asciiTheme="minorHAnsi" w:hAnsiTheme="minorHAnsi" w:cstheme="minorHAnsi"/>
                <w:b/>
                <w:lang w:val="es-MX"/>
              </w:rPr>
              <w:t xml:space="preserve"> </w:t>
            </w:r>
            <w:r w:rsidRPr="006B5A95">
              <w:rPr>
                <w:rFonts w:asciiTheme="minorHAnsi" w:hAnsiTheme="minorHAnsi" w:cstheme="minorHAnsi"/>
                <w:b/>
                <w:lang w:val="es-MX"/>
              </w:rPr>
              <w:t>LICITANTES</w:t>
            </w:r>
            <w:r>
              <w:rPr>
                <w:rFonts w:asciiTheme="minorHAnsi" w:hAnsiTheme="minorHAnsi" w:cstheme="minorHAnsi"/>
                <w:b/>
                <w:lang w:val="es-MX"/>
              </w:rPr>
              <w:t xml:space="preserve"> </w:t>
            </w:r>
            <w:r w:rsidRPr="006B5A95">
              <w:rPr>
                <w:rFonts w:asciiTheme="minorHAnsi" w:hAnsiTheme="minorHAnsi" w:cstheme="minorHAnsi"/>
                <w:b/>
                <w:lang w:val="es-MX"/>
              </w:rPr>
              <w:t>DE</w:t>
            </w:r>
            <w:r>
              <w:rPr>
                <w:rFonts w:asciiTheme="minorHAnsi" w:hAnsiTheme="minorHAnsi" w:cstheme="minorHAnsi"/>
                <w:b/>
                <w:lang w:val="es-MX"/>
              </w:rPr>
              <w:t xml:space="preserve"> </w:t>
            </w:r>
            <w:r w:rsidRPr="006B5A95">
              <w:rPr>
                <w:rFonts w:asciiTheme="minorHAnsi" w:hAnsiTheme="minorHAnsi" w:cstheme="minorHAnsi"/>
                <w:b/>
                <w:lang w:val="es-MX"/>
              </w:rPr>
              <w:t>LA</w:t>
            </w:r>
            <w:r>
              <w:rPr>
                <w:rFonts w:asciiTheme="minorHAnsi" w:hAnsiTheme="minorHAnsi" w:cstheme="minorHAnsi"/>
                <w:b/>
                <w:lang w:val="es-MX"/>
              </w:rPr>
              <w:t xml:space="preserve"> INVITACIÓN </w:t>
            </w:r>
            <w:r w:rsidRPr="006B5A95">
              <w:rPr>
                <w:rFonts w:asciiTheme="minorHAnsi" w:hAnsiTheme="minorHAnsi" w:cstheme="minorHAnsi"/>
                <w:b/>
                <w:lang w:val="es-MX"/>
              </w:rPr>
              <w:t>NACIONAL EN</w:t>
            </w:r>
            <w:r>
              <w:rPr>
                <w:rFonts w:asciiTheme="minorHAnsi" w:hAnsiTheme="minorHAnsi" w:cstheme="minorHAnsi"/>
                <w:b/>
                <w:lang w:val="es-MX"/>
              </w:rPr>
              <w:t xml:space="preserve"> </w:t>
            </w:r>
            <w:r w:rsidRPr="006B5A95">
              <w:rPr>
                <w:rFonts w:asciiTheme="minorHAnsi" w:hAnsiTheme="minorHAnsi" w:cstheme="minorHAnsi"/>
                <w:b/>
                <w:lang w:val="es-MX"/>
              </w:rPr>
              <w:t>MATERIA</w:t>
            </w:r>
            <w:r>
              <w:rPr>
                <w:rFonts w:asciiTheme="minorHAnsi" w:hAnsiTheme="minorHAnsi" w:cstheme="minorHAnsi"/>
                <w:b/>
                <w:lang w:val="es-MX"/>
              </w:rPr>
              <w:t xml:space="preserve"> </w:t>
            </w:r>
            <w:r w:rsidRPr="006B5A95">
              <w:rPr>
                <w:rFonts w:asciiTheme="minorHAnsi" w:hAnsiTheme="minorHAnsi" w:cstheme="minorHAnsi"/>
                <w:b/>
                <w:lang w:val="es-MX"/>
              </w:rPr>
              <w:t>DE</w:t>
            </w:r>
            <w:r>
              <w:rPr>
                <w:rFonts w:asciiTheme="minorHAnsi" w:hAnsiTheme="minorHAnsi" w:cstheme="minorHAnsi"/>
                <w:b/>
                <w:lang w:val="es-MX"/>
              </w:rPr>
              <w:t xml:space="preserve"> </w:t>
            </w:r>
            <w:r w:rsidRPr="006B5A95">
              <w:rPr>
                <w:rFonts w:asciiTheme="minorHAnsi" w:hAnsiTheme="minorHAnsi" w:cstheme="minorHAnsi"/>
                <w:b/>
                <w:lang w:val="es-MX"/>
              </w:rPr>
              <w:t>OBRA</w:t>
            </w:r>
            <w:r>
              <w:rPr>
                <w:rFonts w:asciiTheme="minorHAnsi" w:hAnsiTheme="minorHAnsi" w:cstheme="minorHAnsi"/>
                <w:b/>
                <w:lang w:val="es-MX"/>
              </w:rPr>
              <w:t xml:space="preserve"> </w:t>
            </w:r>
            <w:r w:rsidRPr="006B5A95">
              <w:rPr>
                <w:rFonts w:asciiTheme="minorHAnsi" w:hAnsiTheme="minorHAnsi" w:cstheme="minorHAnsi"/>
                <w:b/>
                <w:lang w:val="es-MX"/>
              </w:rPr>
              <w:t>INMOBILIARIA</w:t>
            </w:r>
            <w:r>
              <w:rPr>
                <w:rFonts w:asciiTheme="minorHAnsi" w:hAnsiTheme="minorHAnsi" w:cstheme="minorHAnsi"/>
                <w:b/>
                <w:lang w:val="es-MX"/>
              </w:rPr>
              <w:t xml:space="preserve"> </w:t>
            </w:r>
            <w:r w:rsidRPr="006B5A95">
              <w:rPr>
                <w:rFonts w:asciiTheme="minorHAnsi" w:hAnsiTheme="minorHAnsi" w:cstheme="minorHAnsi"/>
                <w:b/>
                <w:lang w:val="es-MX"/>
              </w:rPr>
              <w:t>No.</w:t>
            </w:r>
            <w:r>
              <w:rPr>
                <w:rFonts w:asciiTheme="minorHAnsi" w:hAnsiTheme="minorHAnsi" w:cstheme="minorHAnsi"/>
                <w:b/>
                <w:lang w:val="es-MX"/>
              </w:rPr>
              <w:t xml:space="preserve"> 700-13-0045-1</w:t>
            </w:r>
            <w:r w:rsidRPr="006B5A95">
              <w:rPr>
                <w:rFonts w:asciiTheme="minorHAnsi" w:hAnsiTheme="minorHAnsi" w:cstheme="minorHAnsi"/>
                <w:b/>
                <w:lang w:val="es-MX"/>
              </w:rPr>
              <w:t>.</w:t>
            </w:r>
          </w:p>
        </w:tc>
      </w:tr>
    </w:tbl>
    <w:p w:rsidR="00E60907" w:rsidRPr="006B5A95" w:rsidRDefault="00E60907" w:rsidP="00E60907">
      <w:pPr>
        <w:widowControl w:val="0"/>
        <w:jc w:val="both"/>
        <w:rPr>
          <w:rFonts w:asciiTheme="minorHAnsi" w:hAnsiTheme="minorHAnsi" w:cstheme="minorHAnsi"/>
          <w:b/>
          <w:sz w:val="22"/>
          <w:szCs w:val="22"/>
          <w:lang w:val="es-MX"/>
        </w:rPr>
      </w:pPr>
    </w:p>
    <w:p w:rsidR="00E60907" w:rsidRPr="006B5A95" w:rsidRDefault="00E60907" w:rsidP="00E60907">
      <w:pPr>
        <w:widowControl w:val="0"/>
        <w:jc w:val="both"/>
        <w:rPr>
          <w:rFonts w:asciiTheme="minorHAnsi" w:hAnsiTheme="minorHAnsi" w:cstheme="minorHAnsi"/>
          <w:b/>
          <w:sz w:val="22"/>
          <w:szCs w:val="22"/>
          <w:lang w:val="es-MX"/>
        </w:rPr>
      </w:pPr>
    </w:p>
    <w:p w:rsidR="00E60907" w:rsidRPr="006B5A95" w:rsidRDefault="00E60907" w:rsidP="00E60907">
      <w:pPr>
        <w:widowControl w:val="0"/>
        <w:jc w:val="center"/>
        <w:rPr>
          <w:rFonts w:asciiTheme="minorHAnsi" w:hAnsiTheme="minorHAnsi" w:cstheme="minorHAnsi"/>
          <w:b/>
          <w:caps/>
          <w:sz w:val="22"/>
          <w:szCs w:val="22"/>
        </w:rPr>
      </w:pPr>
      <w:r w:rsidRPr="006B5A95">
        <w:rPr>
          <w:rFonts w:asciiTheme="minorHAnsi" w:hAnsiTheme="minorHAnsi" w:cstheme="minorHAnsi"/>
          <w:b/>
          <w:caps/>
          <w:sz w:val="22"/>
          <w:szCs w:val="22"/>
        </w:rPr>
        <w:t>F a l l o.</w:t>
      </w:r>
    </w:p>
    <w:p w:rsidR="00E60907" w:rsidRPr="006B5A95" w:rsidRDefault="00E60907" w:rsidP="00E60907">
      <w:pPr>
        <w:widowControl w:val="0"/>
        <w:jc w:val="center"/>
        <w:rPr>
          <w:rFonts w:asciiTheme="minorHAnsi" w:hAnsiTheme="minorHAnsi" w:cstheme="minorHAnsi"/>
          <w:b/>
          <w:caps/>
          <w:sz w:val="22"/>
          <w:szCs w:val="22"/>
        </w:rPr>
      </w:pPr>
    </w:p>
    <w:p w:rsidR="00E60907" w:rsidRPr="00C83D3A" w:rsidRDefault="00E60907" w:rsidP="00E60907">
      <w:pPr>
        <w:widowControl w:val="0"/>
        <w:jc w:val="both"/>
        <w:rPr>
          <w:rFonts w:asciiTheme="minorHAnsi" w:hAnsiTheme="minorHAnsi" w:cstheme="minorHAnsi"/>
          <w:sz w:val="22"/>
          <w:szCs w:val="22"/>
          <w:lang w:val="es-MX"/>
        </w:rPr>
      </w:pPr>
      <w:r w:rsidRPr="00C83D3A">
        <w:rPr>
          <w:rFonts w:asciiTheme="minorHAnsi" w:hAnsiTheme="minorHAnsi" w:cstheme="minorHAnsi"/>
          <w:sz w:val="22"/>
          <w:szCs w:val="22"/>
          <w:lang w:val="es-MX"/>
        </w:rPr>
        <w:t>Nos referimos a la invitación nacional en materia de obra inmobiliaria No. 700-13-0045-1, de fecha 31 de mayo de 2013, relativa a la obra consistente en trabajos de rehabilitación general de alumbrado exterior de los edificios ubicados en Av. 5 de Mayo Núms. 1, 2, 6, 18, 20, 30, Venustiano Carranza No. 23, Bolívar No. 19 y Gante No. 20, todos ellos en la Colonia Centro, Delegación Cuauhtémoc en México, Distrito Federal, incluyendo el suministro de los bienes que se requieran para su realización.</w:t>
      </w:r>
    </w:p>
    <w:p w:rsidR="00E60907" w:rsidRPr="00C83D3A" w:rsidRDefault="00E60907" w:rsidP="00E60907">
      <w:pPr>
        <w:widowControl w:val="0"/>
        <w:jc w:val="both"/>
        <w:rPr>
          <w:rFonts w:asciiTheme="minorHAnsi" w:hAnsiTheme="minorHAnsi" w:cstheme="minorHAnsi"/>
          <w:sz w:val="22"/>
          <w:szCs w:val="22"/>
          <w:lang w:val="es-MX"/>
        </w:rPr>
      </w:pPr>
    </w:p>
    <w:p w:rsidR="00E60907" w:rsidRPr="00C83D3A" w:rsidRDefault="00E60907" w:rsidP="00E60907">
      <w:pPr>
        <w:widowControl w:val="0"/>
        <w:jc w:val="both"/>
        <w:rPr>
          <w:rFonts w:asciiTheme="minorHAnsi" w:hAnsiTheme="minorHAnsi" w:cstheme="minorHAnsi"/>
          <w:sz w:val="22"/>
          <w:szCs w:val="22"/>
          <w:lang w:val="es-MX"/>
        </w:rPr>
      </w:pPr>
      <w:r w:rsidRPr="00C83D3A">
        <w:rPr>
          <w:rFonts w:asciiTheme="minorHAnsi" w:hAnsiTheme="minorHAnsi" w:cstheme="minorHAnsi"/>
          <w:sz w:val="22"/>
          <w:szCs w:val="22"/>
          <w:lang w:val="es-MX"/>
        </w:rPr>
        <w:t>Sobre el particular, con esta fecha se da a conocer el fallo de dicho procedimiento, de conformidad con lo establecido en los artículos 30, fracción III, y 32 de las Normas del Banco de México en Materia de Obra Inmobiliaria y Servicios Relacionados con la Misma, así como en el numeral 8 de la referida carta invitación, en los términos siguientes:</w:t>
      </w:r>
    </w:p>
    <w:p w:rsidR="00E60907" w:rsidRPr="006B5A95" w:rsidRDefault="00E60907" w:rsidP="00E60907">
      <w:pPr>
        <w:pStyle w:val="Entrada"/>
        <w:keepNext w:val="0"/>
        <w:keepLines w:val="0"/>
        <w:widowControl w:val="0"/>
        <w:spacing w:before="0" w:after="0"/>
        <w:ind w:left="567" w:hanging="567"/>
        <w:rPr>
          <w:rFonts w:asciiTheme="minorHAnsi" w:hAnsiTheme="minorHAnsi" w:cstheme="minorHAnsi"/>
          <w:sz w:val="22"/>
          <w:szCs w:val="22"/>
          <w:u w:val="none"/>
        </w:rPr>
      </w:pPr>
    </w:p>
    <w:p w:rsidR="00E60907" w:rsidRDefault="00E60907" w:rsidP="00E60907">
      <w:pPr>
        <w:pStyle w:val="Entrada"/>
        <w:keepNext w:val="0"/>
        <w:keepLines w:val="0"/>
        <w:widowControl w:val="0"/>
        <w:spacing w:before="0"/>
        <w:ind w:left="284" w:hanging="284"/>
        <w:rPr>
          <w:rFonts w:asciiTheme="minorHAnsi" w:hAnsiTheme="minorHAnsi" w:cstheme="minorHAnsi"/>
          <w:bCs/>
          <w:sz w:val="22"/>
          <w:szCs w:val="22"/>
          <w:u w:val="none"/>
          <w:lang w:val="es-ES"/>
        </w:rPr>
      </w:pPr>
      <w:r w:rsidRPr="006B5A95">
        <w:rPr>
          <w:rFonts w:asciiTheme="minorHAnsi" w:hAnsiTheme="minorHAnsi" w:cstheme="minorHAnsi"/>
          <w:sz w:val="22"/>
          <w:szCs w:val="22"/>
          <w:u w:val="none"/>
        </w:rPr>
        <w:t>I.</w:t>
      </w:r>
      <w:r w:rsidRPr="006B5A95">
        <w:rPr>
          <w:rFonts w:asciiTheme="minorHAnsi" w:hAnsiTheme="minorHAnsi" w:cstheme="minorHAnsi"/>
          <w:sz w:val="22"/>
          <w:szCs w:val="22"/>
          <w:u w:val="none"/>
        </w:rPr>
        <w:tab/>
      </w:r>
      <w:r w:rsidRPr="006B5A95">
        <w:rPr>
          <w:rFonts w:asciiTheme="minorHAnsi" w:hAnsiTheme="minorHAnsi" w:cstheme="minorHAnsi"/>
          <w:bCs/>
          <w:sz w:val="22"/>
          <w:szCs w:val="22"/>
          <w:u w:val="none"/>
          <w:lang w:val="es-ES"/>
        </w:rPr>
        <w:t>RELACIÓN DE LICITANTES QUE PRESENTARON PROPOSICIONES.</w:t>
      </w:r>
    </w:p>
    <w:p w:rsidR="00E60907" w:rsidRPr="001C4749" w:rsidRDefault="00E60907" w:rsidP="00E60907">
      <w:pPr>
        <w:pStyle w:val="Prrafodelista"/>
        <w:widowControl w:val="0"/>
        <w:numPr>
          <w:ilvl w:val="0"/>
          <w:numId w:val="1"/>
        </w:numPr>
        <w:jc w:val="both"/>
        <w:rPr>
          <w:rFonts w:asciiTheme="minorHAnsi" w:hAnsiTheme="minorHAnsi" w:cstheme="minorHAnsi"/>
          <w:sz w:val="22"/>
          <w:szCs w:val="22"/>
          <w:lang w:val="es-MX"/>
        </w:rPr>
      </w:pPr>
      <w:r w:rsidRPr="001C4749">
        <w:rPr>
          <w:rFonts w:asciiTheme="minorHAnsi" w:hAnsiTheme="minorHAnsi" w:cstheme="minorHAnsi"/>
          <w:sz w:val="22"/>
          <w:szCs w:val="22"/>
          <w:lang w:val="es-MX"/>
        </w:rPr>
        <w:t>Desarrollos Técnicos y Construcciones, S.A. de C.V.</w:t>
      </w:r>
    </w:p>
    <w:p w:rsidR="00E60907" w:rsidRPr="001C4749" w:rsidRDefault="00E60907" w:rsidP="00E60907">
      <w:pPr>
        <w:pStyle w:val="Prrafodelista"/>
        <w:widowControl w:val="0"/>
        <w:numPr>
          <w:ilvl w:val="0"/>
          <w:numId w:val="1"/>
        </w:numPr>
        <w:jc w:val="both"/>
        <w:rPr>
          <w:rFonts w:asciiTheme="minorHAnsi" w:hAnsiTheme="minorHAnsi" w:cstheme="minorHAnsi"/>
          <w:sz w:val="22"/>
          <w:szCs w:val="22"/>
          <w:lang w:val="es-MX"/>
        </w:rPr>
      </w:pPr>
      <w:r w:rsidRPr="001C4749">
        <w:rPr>
          <w:rFonts w:asciiTheme="minorHAnsi" w:hAnsiTheme="minorHAnsi" w:cstheme="minorHAnsi"/>
          <w:sz w:val="22"/>
          <w:szCs w:val="22"/>
          <w:lang w:val="es-MX"/>
        </w:rPr>
        <w:t>Comercializadora Internacional de Materiales y Servicios de Construcción, S.A. de C.V.</w:t>
      </w:r>
    </w:p>
    <w:p w:rsidR="00E60907" w:rsidRPr="001C4749" w:rsidRDefault="00E60907" w:rsidP="00E60907">
      <w:pPr>
        <w:pStyle w:val="Prrafodelista"/>
        <w:widowControl w:val="0"/>
        <w:numPr>
          <w:ilvl w:val="0"/>
          <w:numId w:val="1"/>
        </w:numPr>
        <w:jc w:val="both"/>
        <w:rPr>
          <w:rFonts w:asciiTheme="minorHAnsi" w:hAnsiTheme="minorHAnsi" w:cstheme="minorHAnsi"/>
          <w:sz w:val="22"/>
          <w:szCs w:val="22"/>
          <w:lang w:val="es-MX"/>
        </w:rPr>
      </w:pPr>
      <w:r w:rsidRPr="001C4749">
        <w:rPr>
          <w:rFonts w:asciiTheme="minorHAnsi" w:hAnsiTheme="minorHAnsi" w:cstheme="minorHAnsi"/>
          <w:sz w:val="22"/>
          <w:szCs w:val="22"/>
          <w:lang w:val="es-MX"/>
        </w:rPr>
        <w:t>Mantenimiento Arquitectónico Integral, S.A. de C.V.</w:t>
      </w:r>
    </w:p>
    <w:p w:rsidR="00E60907" w:rsidRPr="006B5A95" w:rsidRDefault="00E60907" w:rsidP="00E60907">
      <w:pPr>
        <w:pStyle w:val="Entrada"/>
        <w:keepNext w:val="0"/>
        <w:keepLines w:val="0"/>
        <w:widowControl w:val="0"/>
        <w:spacing w:before="0" w:after="0"/>
        <w:ind w:left="1077"/>
        <w:rPr>
          <w:rFonts w:asciiTheme="minorHAnsi" w:hAnsiTheme="minorHAnsi" w:cstheme="minorHAnsi"/>
          <w:sz w:val="22"/>
          <w:szCs w:val="22"/>
          <w:u w:val="none"/>
        </w:rPr>
      </w:pPr>
    </w:p>
    <w:p w:rsidR="00E60907" w:rsidRDefault="00E60907" w:rsidP="00E60907">
      <w:pPr>
        <w:pStyle w:val="Entrada"/>
        <w:keepNext w:val="0"/>
        <w:keepLines w:val="0"/>
        <w:widowControl w:val="0"/>
        <w:spacing w:before="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II.</w:t>
      </w:r>
      <w:r>
        <w:rPr>
          <w:rFonts w:asciiTheme="minorHAnsi" w:hAnsiTheme="minorHAnsi" w:cstheme="minorHAnsi"/>
          <w:sz w:val="22"/>
          <w:szCs w:val="22"/>
          <w:u w:val="none"/>
        </w:rPr>
        <w:tab/>
        <w:t xml:space="preserve">RELACIÓN DE </w:t>
      </w:r>
      <w:r w:rsidRPr="006B5A95">
        <w:rPr>
          <w:rFonts w:asciiTheme="minorHAnsi" w:hAnsiTheme="minorHAnsi" w:cstheme="minorHAnsi"/>
          <w:sz w:val="22"/>
          <w:szCs w:val="22"/>
          <w:u w:val="none"/>
        </w:rPr>
        <w:t>LICITANTE</w:t>
      </w:r>
      <w:r>
        <w:rPr>
          <w:rFonts w:asciiTheme="minorHAnsi" w:hAnsiTheme="minorHAnsi" w:cstheme="minorHAnsi"/>
          <w:sz w:val="22"/>
          <w:szCs w:val="22"/>
          <w:u w:val="none"/>
        </w:rPr>
        <w:t>S</w:t>
      </w:r>
      <w:r w:rsidRPr="006B5A95">
        <w:rPr>
          <w:rFonts w:asciiTheme="minorHAnsi" w:hAnsiTheme="minorHAnsi" w:cstheme="minorHAnsi"/>
          <w:sz w:val="22"/>
          <w:szCs w:val="22"/>
          <w:u w:val="none"/>
        </w:rPr>
        <w:t xml:space="preserve"> CUYA</w:t>
      </w:r>
      <w:r>
        <w:rPr>
          <w:rFonts w:asciiTheme="minorHAnsi" w:hAnsiTheme="minorHAnsi" w:cstheme="minorHAnsi"/>
          <w:sz w:val="22"/>
          <w:szCs w:val="22"/>
          <w:u w:val="none"/>
        </w:rPr>
        <w:t>S</w:t>
      </w:r>
      <w:r w:rsidRPr="006B5A95">
        <w:rPr>
          <w:rFonts w:asciiTheme="minorHAnsi" w:hAnsiTheme="minorHAnsi" w:cstheme="minorHAnsi"/>
          <w:sz w:val="22"/>
          <w:szCs w:val="22"/>
          <w:u w:val="none"/>
        </w:rPr>
        <w:t xml:space="preserve"> PROPOSICI</w:t>
      </w:r>
      <w:r>
        <w:rPr>
          <w:rFonts w:asciiTheme="minorHAnsi" w:hAnsiTheme="minorHAnsi" w:cstheme="minorHAnsi"/>
          <w:sz w:val="22"/>
          <w:szCs w:val="22"/>
          <w:u w:val="none"/>
        </w:rPr>
        <w:t>ONES</w:t>
      </w:r>
      <w:r w:rsidRPr="006B5A95">
        <w:rPr>
          <w:rFonts w:asciiTheme="minorHAnsi" w:hAnsiTheme="minorHAnsi" w:cstheme="minorHAnsi"/>
          <w:sz w:val="22"/>
          <w:szCs w:val="22"/>
          <w:u w:val="none"/>
        </w:rPr>
        <w:t xml:space="preserve"> </w:t>
      </w:r>
      <w:r>
        <w:rPr>
          <w:rFonts w:asciiTheme="minorHAnsi" w:hAnsiTheme="minorHAnsi" w:cstheme="minorHAnsi"/>
          <w:sz w:val="22"/>
          <w:szCs w:val="22"/>
          <w:u w:val="none"/>
        </w:rPr>
        <w:t>SE DESECHARON.</w:t>
      </w:r>
    </w:p>
    <w:p w:rsidR="00E60907" w:rsidRDefault="00E60907" w:rsidP="00E60907">
      <w:pPr>
        <w:pStyle w:val="Entrada"/>
        <w:keepNext w:val="0"/>
        <w:keepLines w:val="0"/>
        <w:widowControl w:val="0"/>
        <w:spacing w:before="0"/>
        <w:ind w:left="567" w:hanging="567"/>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II.</w:t>
      </w:r>
      <w:r>
        <w:rPr>
          <w:rFonts w:asciiTheme="minorHAnsi" w:hAnsiTheme="minorHAnsi" w:cstheme="minorHAnsi"/>
          <w:b w:val="0"/>
          <w:sz w:val="22"/>
          <w:szCs w:val="22"/>
          <w:u w:val="none"/>
        </w:rPr>
        <w:t>1</w:t>
      </w:r>
      <w:r w:rsidRPr="00F9388E">
        <w:rPr>
          <w:rFonts w:asciiTheme="minorHAnsi" w:hAnsiTheme="minorHAnsi" w:cstheme="minorHAnsi"/>
          <w:b w:val="0"/>
          <w:sz w:val="22"/>
          <w:szCs w:val="22"/>
          <w:u w:val="none"/>
        </w:rPr>
        <w:tab/>
      </w:r>
      <w:r w:rsidRPr="00445CEB">
        <w:rPr>
          <w:rFonts w:asciiTheme="minorHAnsi" w:hAnsiTheme="minorHAnsi" w:cstheme="minorHAnsi"/>
          <w:b w:val="0"/>
          <w:sz w:val="22"/>
          <w:szCs w:val="22"/>
          <w:u w:val="none"/>
        </w:rPr>
        <w:t>Comercializadora Internacional de Materiales y Servicios de Construcción, S.A. de C.V.</w:t>
      </w:r>
    </w:p>
    <w:p w:rsidR="00E60907" w:rsidRPr="00C83D3A" w:rsidRDefault="00E60907" w:rsidP="00E60907">
      <w:pPr>
        <w:pStyle w:val="Entrada"/>
        <w:keepNext w:val="0"/>
        <w:keepLines w:val="0"/>
        <w:widowControl w:val="0"/>
        <w:numPr>
          <w:ilvl w:val="0"/>
          <w:numId w:val="3"/>
        </w:numPr>
        <w:spacing w:before="0"/>
        <w:rPr>
          <w:rFonts w:asciiTheme="minorHAnsi" w:hAnsiTheme="minorHAnsi" w:cstheme="minorHAnsi"/>
          <w:b w:val="0"/>
          <w:sz w:val="22"/>
          <w:u w:val="none"/>
          <w:lang w:eastAsia="es-ES"/>
        </w:rPr>
      </w:pPr>
      <w:r w:rsidRPr="00C83D3A">
        <w:rPr>
          <w:rFonts w:asciiTheme="minorHAnsi" w:hAnsiTheme="minorHAnsi" w:cstheme="minorHAnsi"/>
          <w:b w:val="0"/>
          <w:sz w:val="22"/>
          <w:u w:val="none"/>
          <w:lang w:eastAsia="es-ES"/>
        </w:rPr>
        <w:t>El numeral 13.1, segundo párrafo, fracción VII, de la invitación de referencia establece que:</w:t>
      </w:r>
    </w:p>
    <w:p w:rsidR="00E60907" w:rsidRPr="00445CEB" w:rsidRDefault="00E60907" w:rsidP="00E60907">
      <w:pPr>
        <w:pStyle w:val="cjinciso3"/>
        <w:tabs>
          <w:tab w:val="clear" w:pos="1497"/>
          <w:tab w:val="left" w:pos="567"/>
          <w:tab w:val="left" w:pos="1440"/>
        </w:tabs>
        <w:overflowPunct w:val="0"/>
        <w:autoSpaceDE w:val="0"/>
        <w:autoSpaceDN w:val="0"/>
        <w:adjustRightInd w:val="0"/>
        <w:ind w:left="491" w:firstLine="0"/>
        <w:textAlignment w:val="baseline"/>
        <w:rPr>
          <w:rFonts w:ascii="Calibri" w:hAnsi="Calibri" w:cs="Calibri"/>
          <w:b/>
          <w:szCs w:val="22"/>
          <w:u w:val="single"/>
        </w:rPr>
      </w:pPr>
      <w:r w:rsidRPr="00445CEB">
        <w:rPr>
          <w:rFonts w:asciiTheme="minorHAnsi" w:hAnsiTheme="minorHAnsi" w:cstheme="minorHAnsi"/>
          <w:b/>
          <w:szCs w:val="22"/>
        </w:rPr>
        <w:t>“</w:t>
      </w:r>
      <w:r w:rsidRPr="00445CEB">
        <w:rPr>
          <w:rFonts w:ascii="Calibri" w:hAnsi="Calibri" w:cs="Calibri"/>
          <w:b/>
          <w:szCs w:val="22"/>
        </w:rPr>
        <w:t xml:space="preserve">13. </w:t>
      </w:r>
      <w:r w:rsidRPr="00445CEB">
        <w:rPr>
          <w:rFonts w:ascii="Calibri" w:hAnsi="Calibri" w:cs="Calibri"/>
          <w:b/>
          <w:szCs w:val="22"/>
          <w:u w:val="single"/>
        </w:rPr>
        <w:t>CRITERIOS DE EVALUACIÓN Y ADJUDICACIÓN</w:t>
      </w:r>
    </w:p>
    <w:p w:rsidR="00E60907" w:rsidRPr="00445CEB" w:rsidRDefault="00E60907" w:rsidP="00E60907">
      <w:pPr>
        <w:pStyle w:val="cjminusculas"/>
        <w:tabs>
          <w:tab w:val="clear" w:pos="644"/>
          <w:tab w:val="num" w:pos="567"/>
          <w:tab w:val="left" w:pos="1134"/>
        </w:tabs>
        <w:ind w:left="1058"/>
        <w:rPr>
          <w:rFonts w:ascii="Calibri" w:hAnsi="Calibri" w:cs="Calibri"/>
          <w:b/>
          <w:szCs w:val="22"/>
        </w:rPr>
      </w:pPr>
      <w:r w:rsidRPr="00445CEB">
        <w:rPr>
          <w:rFonts w:ascii="Calibri" w:hAnsi="Calibri" w:cs="Calibri"/>
          <w:szCs w:val="22"/>
        </w:rPr>
        <w:tab/>
      </w:r>
      <w:r w:rsidRPr="00445CEB">
        <w:rPr>
          <w:rFonts w:ascii="Calibri" w:hAnsi="Calibri" w:cs="Calibri"/>
          <w:b/>
          <w:szCs w:val="22"/>
        </w:rPr>
        <w:t>13.1 DE EVALUACIÓN DE PROPOSICIONES</w:t>
      </w:r>
    </w:p>
    <w:p w:rsidR="00E60907" w:rsidRPr="00445CEB" w:rsidRDefault="00E60907" w:rsidP="00E60907">
      <w:pPr>
        <w:pStyle w:val="Entrada"/>
        <w:widowControl w:val="0"/>
        <w:ind w:left="1416"/>
        <w:rPr>
          <w:rFonts w:asciiTheme="minorHAnsi" w:hAnsiTheme="minorHAnsi" w:cstheme="minorHAnsi"/>
          <w:b w:val="0"/>
          <w:sz w:val="22"/>
          <w:u w:val="none"/>
          <w:lang w:eastAsia="es-ES"/>
        </w:rPr>
      </w:pPr>
      <w:r w:rsidRPr="00445CEB">
        <w:rPr>
          <w:rFonts w:asciiTheme="minorHAnsi" w:hAnsiTheme="minorHAnsi" w:cstheme="minorHAnsi"/>
          <w:b w:val="0"/>
          <w:sz w:val="22"/>
          <w:u w:val="none"/>
          <w:lang w:eastAsia="es-ES"/>
        </w:rPr>
        <w:t xml:space="preserve">Para la evaluación de las proposiciones no se utilizará el mecanismo de puntos o porcentajes. </w:t>
      </w:r>
    </w:p>
    <w:p w:rsidR="00E60907" w:rsidRDefault="00E60907" w:rsidP="00E60907">
      <w:pPr>
        <w:pStyle w:val="Entrada"/>
        <w:keepNext w:val="0"/>
        <w:keepLines w:val="0"/>
        <w:widowControl w:val="0"/>
        <w:spacing w:before="0" w:after="0"/>
        <w:ind w:left="1416"/>
        <w:rPr>
          <w:rFonts w:asciiTheme="minorHAnsi" w:hAnsiTheme="minorHAnsi" w:cstheme="minorHAnsi"/>
          <w:b w:val="0"/>
          <w:sz w:val="22"/>
          <w:u w:val="none"/>
          <w:lang w:eastAsia="es-ES"/>
        </w:rPr>
      </w:pPr>
      <w:r w:rsidRPr="00445CEB">
        <w:rPr>
          <w:rFonts w:asciiTheme="minorHAnsi" w:hAnsiTheme="minorHAnsi" w:cstheme="minorHAnsi"/>
          <w:b w:val="0"/>
          <w:sz w:val="22"/>
          <w:u w:val="none"/>
          <w:lang w:eastAsia="es-ES"/>
        </w:rPr>
        <w:t>El Banco, para hacer la evaluación de las proposiciones, verificará que las mismas cumplan con los requisitos solicitados en la presente invitación. Para tal efecto, el propio Banco determinará la solvencia de las proposiciones de acuerdo a los siguientes procedimientos y criterios:</w:t>
      </w:r>
    </w:p>
    <w:p w:rsidR="00E60907" w:rsidRDefault="00E60907" w:rsidP="00E60907">
      <w:pPr>
        <w:pStyle w:val="Entrada"/>
        <w:keepNext w:val="0"/>
        <w:keepLines w:val="0"/>
        <w:widowControl w:val="0"/>
        <w:spacing w:before="0" w:after="0"/>
        <w:ind w:left="1416"/>
        <w:rPr>
          <w:rFonts w:asciiTheme="minorHAnsi" w:hAnsiTheme="minorHAnsi" w:cstheme="minorHAnsi"/>
          <w:b w:val="0"/>
          <w:sz w:val="22"/>
          <w:u w:val="none"/>
          <w:lang w:eastAsia="es-ES"/>
        </w:rPr>
      </w:pPr>
    </w:p>
    <w:p w:rsidR="00E60907" w:rsidRPr="00F9388E" w:rsidRDefault="00E60907" w:rsidP="00E60907">
      <w:pPr>
        <w:pStyle w:val="Entrada"/>
        <w:keepNext w:val="0"/>
        <w:keepLines w:val="0"/>
        <w:widowControl w:val="0"/>
        <w:spacing w:before="0" w:after="0"/>
        <w:ind w:left="1843" w:hanging="427"/>
        <w:rPr>
          <w:rFonts w:asciiTheme="minorHAnsi" w:hAnsiTheme="minorHAnsi" w:cstheme="minorHAnsi"/>
          <w:b w:val="0"/>
          <w:sz w:val="22"/>
          <w:u w:val="none"/>
          <w:lang w:eastAsia="es-ES"/>
        </w:rPr>
      </w:pPr>
      <w:r w:rsidRPr="00445CEB">
        <w:rPr>
          <w:rFonts w:asciiTheme="minorHAnsi" w:hAnsiTheme="minorHAnsi" w:cstheme="minorHAnsi"/>
          <w:b w:val="0"/>
          <w:sz w:val="22"/>
          <w:u w:val="none"/>
          <w:lang w:eastAsia="es-ES"/>
        </w:rPr>
        <w:t>VII.</w:t>
      </w:r>
      <w:r w:rsidRPr="00445CEB">
        <w:rPr>
          <w:rFonts w:asciiTheme="minorHAnsi" w:hAnsiTheme="minorHAnsi" w:cstheme="minorHAnsi"/>
          <w:b w:val="0"/>
          <w:sz w:val="22"/>
          <w:u w:val="none"/>
          <w:lang w:eastAsia="es-ES"/>
        </w:rPr>
        <w:tab/>
        <w:t xml:space="preserve">Verificará que los precios propuestos por el licitante sean convenientes y aceptables, es decir, que guarden proporción con el presupuesto base, que sean acordes con las condiciones vigentes en el mercado internacional, nacional o de la zona o región en donde se ejecutarán los trabajos, individualmente o conformando la proposición total. De igual forma, se revisará que en el monto de la propuesta, se haya considerado para el análisis, cálculo e integración de los precios unitarios, los costos de mano de obra, materiales y demás insumos en la zona o región de que se trate; que el cargo por maquinaria y equipo </w:t>
      </w:r>
      <w:r w:rsidRPr="00445CEB">
        <w:rPr>
          <w:rFonts w:asciiTheme="minorHAnsi" w:hAnsiTheme="minorHAnsi" w:cstheme="minorHAnsi"/>
          <w:b w:val="0"/>
          <w:sz w:val="22"/>
          <w:u w:val="none"/>
          <w:lang w:eastAsia="es-ES"/>
        </w:rPr>
        <w:lastRenderedPageBreak/>
        <w:t>de construcción, se haya determinado con base en el precio y rendimiento de éstos considerados como nuevos y acorde con las condiciones de ejecución del concepto de trabajo correspondiente; que el monto del costo indirecto incluya los cargos por instalaciones, servicios, salarios y prestaciones del personal técnico y administrativo y demás cargos de naturaleza análoga, y que en el costo por financiamiento se haya considerado la repercusión del anticipo.</w:t>
      </w:r>
      <w:r>
        <w:rPr>
          <w:rFonts w:asciiTheme="minorHAnsi" w:hAnsiTheme="minorHAnsi" w:cstheme="minorHAnsi"/>
          <w:b w:val="0"/>
          <w:sz w:val="22"/>
          <w:u w:val="none"/>
          <w:lang w:eastAsia="es-ES"/>
        </w:rPr>
        <w:t>”</w:t>
      </w:r>
    </w:p>
    <w:p w:rsidR="00E60907" w:rsidRDefault="00E60907" w:rsidP="00E60907">
      <w:pPr>
        <w:pStyle w:val="Entrada"/>
        <w:keepNext w:val="0"/>
        <w:keepLines w:val="0"/>
        <w:widowControl w:val="0"/>
        <w:spacing w:before="0" w:after="0"/>
        <w:ind w:left="568" w:hanging="284"/>
        <w:rPr>
          <w:rFonts w:asciiTheme="minorHAnsi" w:hAnsiTheme="minorHAnsi" w:cstheme="minorHAnsi"/>
          <w:b w:val="0"/>
          <w:sz w:val="22"/>
          <w:szCs w:val="22"/>
          <w:u w:val="none"/>
        </w:rPr>
      </w:pPr>
    </w:p>
    <w:p w:rsidR="00E60907" w:rsidRDefault="00E60907" w:rsidP="00E60907">
      <w:pPr>
        <w:pStyle w:val="Entrada"/>
        <w:keepNext w:val="0"/>
        <w:keepLines w:val="0"/>
        <w:widowControl w:val="0"/>
        <w:numPr>
          <w:ilvl w:val="0"/>
          <w:numId w:val="3"/>
        </w:numPr>
        <w:spacing w:before="0"/>
        <w:rPr>
          <w:rFonts w:asciiTheme="minorHAnsi" w:hAnsiTheme="minorHAnsi" w:cstheme="minorHAnsi"/>
          <w:b w:val="0"/>
          <w:sz w:val="22"/>
          <w:u w:val="none"/>
          <w:lang w:eastAsia="es-ES"/>
        </w:rPr>
      </w:pPr>
      <w:r w:rsidRPr="000A263D">
        <w:rPr>
          <w:rFonts w:asciiTheme="minorHAnsi" w:hAnsiTheme="minorHAnsi" w:cstheme="minorHAnsi"/>
          <w:b w:val="0"/>
          <w:sz w:val="22"/>
          <w:u w:val="none"/>
          <w:lang w:eastAsia="es-ES"/>
        </w:rPr>
        <w:t xml:space="preserve">La proposición contiene precios de materiales no aceptables en cinco conceptos, los cuales representan el 33.56% de dicha proposición. El licitante considera, en el caso de los luminarios de la marca Meyer, requeridos por el Banco, un costo </w:t>
      </w:r>
      <w:r>
        <w:rPr>
          <w:rFonts w:asciiTheme="minorHAnsi" w:hAnsiTheme="minorHAnsi" w:cstheme="minorHAnsi"/>
          <w:b w:val="0"/>
          <w:sz w:val="22"/>
          <w:u w:val="none"/>
          <w:lang w:eastAsia="es-ES"/>
        </w:rPr>
        <w:t>que se encuentra en un 78</w:t>
      </w:r>
      <w:r w:rsidRPr="000A263D">
        <w:rPr>
          <w:rFonts w:asciiTheme="minorHAnsi" w:hAnsiTheme="minorHAnsi" w:cstheme="minorHAnsi"/>
          <w:b w:val="0"/>
          <w:sz w:val="22"/>
          <w:u w:val="none"/>
          <w:lang w:eastAsia="es-ES"/>
        </w:rPr>
        <w:t>% por debajo de su valor real de mercado, co</w:t>
      </w:r>
      <w:r>
        <w:rPr>
          <w:rFonts w:asciiTheme="minorHAnsi" w:hAnsiTheme="minorHAnsi" w:cstheme="minorHAnsi"/>
          <w:b w:val="0"/>
          <w:sz w:val="22"/>
          <w:u w:val="none"/>
          <w:lang w:eastAsia="es-ES"/>
        </w:rPr>
        <w:t>nforme al estudio llevado a cabo por este Instituto Central</w:t>
      </w:r>
      <w:r w:rsidRPr="000A263D">
        <w:rPr>
          <w:rFonts w:asciiTheme="minorHAnsi" w:hAnsiTheme="minorHAnsi" w:cstheme="minorHAnsi"/>
          <w:b w:val="0"/>
          <w:sz w:val="22"/>
          <w:u w:val="none"/>
          <w:lang w:eastAsia="es-ES"/>
        </w:rPr>
        <w:t>. De igual forma, contempla el mismo costo para tres equipos con diferentes características ($2,668.00), cuando el precio de dichos bienes, de acuerdo a la investigación de mercado efectuada por el área técnica del Banco, es de $14,500.00, $13,500.00 y $9,000.00.</w:t>
      </w:r>
    </w:p>
    <w:p w:rsidR="00E60907" w:rsidRPr="00F9388E" w:rsidRDefault="00E60907" w:rsidP="00E60907">
      <w:pPr>
        <w:pStyle w:val="Entrada"/>
        <w:keepNext w:val="0"/>
        <w:keepLines w:val="0"/>
        <w:widowControl w:val="0"/>
        <w:spacing w:before="0" w:after="0"/>
        <w:ind w:left="284"/>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 xml:space="preserve">Por lo antes expuesto, se desecha la propuesta de la sociedad </w:t>
      </w:r>
      <w:r w:rsidRPr="009524FD">
        <w:rPr>
          <w:rFonts w:asciiTheme="minorHAnsi" w:hAnsiTheme="minorHAnsi" w:cstheme="minorHAnsi"/>
          <w:b w:val="0"/>
          <w:sz w:val="22"/>
          <w:szCs w:val="22"/>
          <w:u w:val="none"/>
        </w:rPr>
        <w:t>Comercializadora Internacional de Materiales y Servicios de Construcción, S.A. de C.V.</w:t>
      </w:r>
      <w:r w:rsidRPr="00F9388E">
        <w:rPr>
          <w:rFonts w:asciiTheme="minorHAnsi" w:hAnsiTheme="minorHAnsi" w:cstheme="minorHAnsi"/>
          <w:b w:val="0"/>
          <w:sz w:val="22"/>
          <w:szCs w:val="22"/>
          <w:u w:val="none"/>
        </w:rPr>
        <w:t>, con fundamento en lo dispuesto en el</w:t>
      </w:r>
      <w:r>
        <w:rPr>
          <w:rFonts w:asciiTheme="minorHAnsi" w:hAnsiTheme="minorHAnsi" w:cstheme="minorHAnsi"/>
          <w:b w:val="0"/>
          <w:sz w:val="22"/>
          <w:szCs w:val="22"/>
          <w:u w:val="none"/>
        </w:rPr>
        <w:t xml:space="preserve"> último párrafo del</w:t>
      </w:r>
      <w:r w:rsidRPr="00F9388E">
        <w:rPr>
          <w:rFonts w:asciiTheme="minorHAnsi" w:hAnsiTheme="minorHAnsi" w:cstheme="minorHAnsi"/>
          <w:b w:val="0"/>
          <w:sz w:val="22"/>
          <w:szCs w:val="22"/>
          <w:u w:val="none"/>
        </w:rPr>
        <w:t xml:space="preserve"> numeral 14 de la </w:t>
      </w:r>
      <w:r>
        <w:rPr>
          <w:rFonts w:asciiTheme="minorHAnsi" w:hAnsiTheme="minorHAnsi" w:cstheme="minorHAnsi"/>
          <w:b w:val="0"/>
          <w:sz w:val="22"/>
          <w:szCs w:val="22"/>
          <w:u w:val="none"/>
        </w:rPr>
        <w:t>Invitación</w:t>
      </w:r>
      <w:r w:rsidRPr="00F9388E">
        <w:rPr>
          <w:rFonts w:asciiTheme="minorHAnsi" w:hAnsiTheme="minorHAnsi" w:cstheme="minorHAnsi"/>
          <w:b w:val="0"/>
          <w:sz w:val="22"/>
          <w:szCs w:val="22"/>
          <w:u w:val="none"/>
        </w:rPr>
        <w:t xml:space="preserve"> Nacional en materia de obra inmobiliaria No. 700-1</w:t>
      </w:r>
      <w:r>
        <w:rPr>
          <w:rFonts w:asciiTheme="minorHAnsi" w:hAnsiTheme="minorHAnsi" w:cstheme="minorHAnsi"/>
          <w:b w:val="0"/>
          <w:sz w:val="22"/>
          <w:szCs w:val="22"/>
          <w:u w:val="none"/>
        </w:rPr>
        <w:t>3</w:t>
      </w:r>
      <w:r w:rsidRPr="00F9388E">
        <w:rPr>
          <w:rFonts w:asciiTheme="minorHAnsi" w:hAnsiTheme="minorHAnsi" w:cstheme="minorHAnsi"/>
          <w:b w:val="0"/>
          <w:sz w:val="22"/>
          <w:szCs w:val="22"/>
          <w:u w:val="none"/>
        </w:rPr>
        <w:t>-0</w:t>
      </w:r>
      <w:r>
        <w:rPr>
          <w:rFonts w:asciiTheme="minorHAnsi" w:hAnsiTheme="minorHAnsi" w:cstheme="minorHAnsi"/>
          <w:b w:val="0"/>
          <w:sz w:val="22"/>
          <w:szCs w:val="22"/>
          <w:u w:val="none"/>
        </w:rPr>
        <w:t>045</w:t>
      </w:r>
      <w:r w:rsidRPr="00F9388E">
        <w:rPr>
          <w:rFonts w:asciiTheme="minorHAnsi" w:hAnsiTheme="minorHAnsi" w:cstheme="minorHAnsi"/>
          <w:b w:val="0"/>
          <w:sz w:val="22"/>
          <w:szCs w:val="22"/>
          <w:u w:val="none"/>
        </w:rPr>
        <w:t xml:space="preserve">-1, el cual señala como causa de desechamiento, </w:t>
      </w:r>
      <w:r>
        <w:rPr>
          <w:rFonts w:asciiTheme="minorHAnsi" w:hAnsiTheme="minorHAnsi" w:cstheme="minorHAnsi"/>
          <w:b w:val="0"/>
          <w:sz w:val="22"/>
          <w:szCs w:val="22"/>
          <w:u w:val="none"/>
        </w:rPr>
        <w:t>cuando</w:t>
      </w:r>
      <w:r w:rsidRPr="0022124B">
        <w:rPr>
          <w:rFonts w:asciiTheme="minorHAnsi" w:hAnsiTheme="minorHAnsi" w:cstheme="minorHAnsi"/>
          <w:b w:val="0"/>
          <w:sz w:val="22"/>
          <w:szCs w:val="22"/>
          <w:u w:val="none"/>
        </w:rPr>
        <w:t xml:space="preserve"> los precios ofertados no sean convenientes y aceptables, es decir, que no guarden proporción con el presupuesto base en caso de contar con este, o que no sean acordes con las condiciones vigentes en el mercado internacional, nacional o de la zona o región en donde se ejecutarán los trabajos, individualmente o conformando la proposición total</w:t>
      </w:r>
      <w:r w:rsidRPr="00F9388E">
        <w:rPr>
          <w:rFonts w:asciiTheme="minorHAnsi" w:hAnsiTheme="minorHAnsi" w:cstheme="minorHAnsi"/>
          <w:b w:val="0"/>
          <w:sz w:val="22"/>
          <w:szCs w:val="22"/>
          <w:u w:val="none"/>
        </w:rPr>
        <w:t>.</w:t>
      </w:r>
    </w:p>
    <w:p w:rsidR="00E60907" w:rsidRDefault="00E60907" w:rsidP="00E60907">
      <w:pPr>
        <w:pStyle w:val="Entrada"/>
        <w:keepNext w:val="0"/>
        <w:keepLines w:val="0"/>
        <w:widowControl w:val="0"/>
        <w:spacing w:before="0"/>
        <w:ind w:left="567" w:hanging="567"/>
        <w:rPr>
          <w:rFonts w:asciiTheme="minorHAnsi" w:hAnsiTheme="minorHAnsi" w:cstheme="minorHAnsi"/>
          <w:b w:val="0"/>
          <w:sz w:val="22"/>
          <w:szCs w:val="22"/>
          <w:u w:val="none"/>
        </w:rPr>
      </w:pPr>
    </w:p>
    <w:p w:rsidR="00E60907" w:rsidRDefault="00E60907" w:rsidP="00E60907">
      <w:pPr>
        <w:pStyle w:val="Entrada"/>
        <w:keepNext w:val="0"/>
        <w:keepLines w:val="0"/>
        <w:widowControl w:val="0"/>
        <w:spacing w:before="0"/>
        <w:ind w:left="567" w:hanging="567"/>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II.</w:t>
      </w:r>
      <w:r>
        <w:rPr>
          <w:rFonts w:asciiTheme="minorHAnsi" w:hAnsiTheme="minorHAnsi" w:cstheme="minorHAnsi"/>
          <w:b w:val="0"/>
          <w:sz w:val="22"/>
          <w:szCs w:val="22"/>
          <w:u w:val="none"/>
        </w:rPr>
        <w:t>2</w:t>
      </w:r>
      <w:r w:rsidRPr="00F9388E">
        <w:rPr>
          <w:rFonts w:asciiTheme="minorHAnsi" w:hAnsiTheme="minorHAnsi" w:cstheme="minorHAnsi"/>
          <w:b w:val="0"/>
          <w:sz w:val="22"/>
          <w:szCs w:val="22"/>
          <w:u w:val="none"/>
        </w:rPr>
        <w:tab/>
        <w:t>Mantenimiento Arquitectónico Integral, S.A. de C.V.</w:t>
      </w:r>
    </w:p>
    <w:p w:rsidR="00E60907" w:rsidRDefault="00E60907" w:rsidP="00E60907">
      <w:pPr>
        <w:pStyle w:val="Entrada"/>
        <w:keepNext w:val="0"/>
        <w:keepLines w:val="0"/>
        <w:widowControl w:val="0"/>
        <w:numPr>
          <w:ilvl w:val="0"/>
          <w:numId w:val="2"/>
        </w:numPr>
        <w:spacing w:before="0"/>
        <w:ind w:left="641" w:hanging="357"/>
        <w:rPr>
          <w:rFonts w:asciiTheme="minorHAnsi" w:hAnsiTheme="minorHAnsi" w:cstheme="minorHAnsi"/>
          <w:b w:val="0"/>
          <w:sz w:val="22"/>
          <w:u w:val="none"/>
          <w:lang w:eastAsia="es-ES"/>
        </w:rPr>
      </w:pPr>
      <w:r w:rsidRPr="00F9388E">
        <w:rPr>
          <w:rFonts w:asciiTheme="minorHAnsi" w:hAnsiTheme="minorHAnsi" w:cstheme="minorHAnsi"/>
          <w:b w:val="0"/>
          <w:sz w:val="22"/>
          <w:u w:val="none"/>
          <w:lang w:eastAsia="es-ES"/>
        </w:rPr>
        <w:t xml:space="preserve">En el numeral 11, inciso </w:t>
      </w:r>
      <w:r>
        <w:rPr>
          <w:rFonts w:asciiTheme="minorHAnsi" w:hAnsiTheme="minorHAnsi" w:cstheme="minorHAnsi"/>
          <w:b w:val="0"/>
          <w:sz w:val="22"/>
          <w:u w:val="none"/>
          <w:lang w:eastAsia="es-ES"/>
        </w:rPr>
        <w:t>b</w:t>
      </w:r>
      <w:r w:rsidRPr="00F9388E">
        <w:rPr>
          <w:rFonts w:asciiTheme="minorHAnsi" w:hAnsiTheme="minorHAnsi" w:cstheme="minorHAnsi"/>
          <w:b w:val="0"/>
          <w:sz w:val="22"/>
          <w:u w:val="none"/>
          <w:lang w:eastAsia="es-ES"/>
        </w:rPr>
        <w:t xml:space="preserve">), de la convocatoria a la </w:t>
      </w:r>
      <w:r>
        <w:rPr>
          <w:rFonts w:asciiTheme="minorHAnsi" w:hAnsiTheme="minorHAnsi" w:cstheme="minorHAnsi"/>
          <w:b w:val="0"/>
          <w:sz w:val="22"/>
          <w:u w:val="none"/>
          <w:lang w:eastAsia="es-ES"/>
        </w:rPr>
        <w:t xml:space="preserve">invitación </w:t>
      </w:r>
      <w:r w:rsidRPr="00F9388E">
        <w:rPr>
          <w:rFonts w:asciiTheme="minorHAnsi" w:hAnsiTheme="minorHAnsi" w:cstheme="minorHAnsi"/>
          <w:b w:val="0"/>
          <w:sz w:val="22"/>
          <w:u w:val="none"/>
          <w:lang w:eastAsia="es-ES"/>
        </w:rPr>
        <w:t>se estableció lo siguiente:</w:t>
      </w:r>
    </w:p>
    <w:p w:rsidR="00E60907" w:rsidRPr="00023520" w:rsidRDefault="00E60907" w:rsidP="00E60907">
      <w:pPr>
        <w:pStyle w:val="cjsubinciso"/>
        <w:tabs>
          <w:tab w:val="left" w:pos="567"/>
        </w:tabs>
        <w:spacing w:after="0"/>
        <w:ind w:hanging="567"/>
        <w:rPr>
          <w:rFonts w:ascii="Calibri" w:hAnsi="Calibri" w:cs="Calibri"/>
          <w:b/>
          <w:sz w:val="24"/>
          <w:szCs w:val="22"/>
          <w:u w:val="single"/>
        </w:rPr>
      </w:pPr>
      <w:r>
        <w:rPr>
          <w:rFonts w:asciiTheme="minorHAnsi" w:hAnsiTheme="minorHAnsi" w:cstheme="minorHAnsi"/>
        </w:rPr>
        <w:t>“</w:t>
      </w:r>
      <w:r w:rsidRPr="00023520">
        <w:rPr>
          <w:rFonts w:ascii="Calibri" w:hAnsi="Calibri" w:cs="Calibri"/>
          <w:b/>
          <w:sz w:val="24"/>
          <w:szCs w:val="22"/>
        </w:rPr>
        <w:t>11.</w:t>
      </w:r>
      <w:r w:rsidRPr="00023520">
        <w:rPr>
          <w:rFonts w:ascii="Calibri" w:hAnsi="Calibri" w:cs="Calibri"/>
          <w:sz w:val="24"/>
          <w:szCs w:val="22"/>
        </w:rPr>
        <w:tab/>
      </w:r>
      <w:r w:rsidRPr="00023520">
        <w:rPr>
          <w:rFonts w:ascii="Calibri" w:hAnsi="Calibri" w:cs="Calibri"/>
          <w:b/>
          <w:sz w:val="24"/>
          <w:szCs w:val="22"/>
          <w:u w:val="single"/>
        </w:rPr>
        <w:t>REQUISITOS QUE DEBEN CUMPLIR QUIENES DESEEN PARTICIPAR EN LA PRESENTE INVITACIÓN.- INFORMACIÓN Y DOCUMENTOS ADICIONALES</w:t>
      </w:r>
    </w:p>
    <w:p w:rsidR="00E60907" w:rsidRPr="00023520" w:rsidRDefault="00E60907" w:rsidP="00E60907">
      <w:pPr>
        <w:pStyle w:val="cjsubinciso"/>
        <w:spacing w:after="0"/>
        <w:rPr>
          <w:rFonts w:ascii="Calibri" w:hAnsi="Calibri" w:cs="Calibri"/>
        </w:rPr>
      </w:pPr>
    </w:p>
    <w:p w:rsidR="00E60907" w:rsidRPr="00023520" w:rsidRDefault="00E60907" w:rsidP="00E60907">
      <w:pPr>
        <w:pStyle w:val="cjtextonumeral1"/>
        <w:ind w:left="1134"/>
        <w:rPr>
          <w:rFonts w:ascii="Calibri" w:hAnsi="Calibri" w:cs="Calibri"/>
          <w:sz w:val="24"/>
          <w:szCs w:val="22"/>
        </w:rPr>
      </w:pPr>
      <w:r w:rsidRPr="00023520">
        <w:rPr>
          <w:rFonts w:ascii="Calibri" w:hAnsi="Calibri" w:cs="Calibri"/>
          <w:sz w:val="24"/>
          <w:szCs w:val="22"/>
        </w:rPr>
        <w:t>Quienes deseen participar en esta invitación deberán cumplir los siguientes requisitos:</w:t>
      </w:r>
    </w:p>
    <w:p w:rsidR="00E60907" w:rsidRPr="00F9388E" w:rsidRDefault="00E60907" w:rsidP="00E60907">
      <w:pPr>
        <w:pStyle w:val="Entrada"/>
        <w:keepNext w:val="0"/>
        <w:keepLines w:val="0"/>
        <w:widowControl w:val="0"/>
        <w:numPr>
          <w:ilvl w:val="1"/>
          <w:numId w:val="2"/>
        </w:numPr>
        <w:spacing w:before="0" w:after="0"/>
        <w:rPr>
          <w:rFonts w:asciiTheme="minorHAnsi" w:hAnsiTheme="minorHAnsi" w:cstheme="minorHAnsi"/>
          <w:b w:val="0"/>
          <w:sz w:val="22"/>
          <w:u w:val="none"/>
          <w:lang w:eastAsia="es-ES"/>
        </w:rPr>
      </w:pPr>
      <w:r w:rsidRPr="00F9388E">
        <w:rPr>
          <w:rFonts w:asciiTheme="minorHAnsi" w:hAnsiTheme="minorHAnsi" w:cstheme="minorHAnsi"/>
          <w:b w:val="0"/>
          <w:sz w:val="22"/>
          <w:u w:val="none"/>
          <w:lang w:eastAsia="es-ES"/>
        </w:rPr>
        <w:t>Entregar a este Banco declaración escrita y bajo protesta de decir verdad, conforme al formato incluido en el anexo “E” de esta invitación, de no habérsele determinado, mediante publicación en el Diario Oficial de la Federación, impedimento para contratar o celebrar contratos con la Administración Pública Federal, y de no encontrarse en alguno de los supuestos que señalan la fracción XX del artículo 8 de la Ley Federal de Responsabilidades Administrativas de los Servidores Públicos, y los artículos 51 y 78 de la Ley de Obras Públicas y Servicios Relacionados con las Mismas. Dicho escrito también deberá expresar que se encuentran al corriente en el cumplimiento de sus obligaciones fiscales, proporcionando dirección de correo electrónico en la misma.</w:t>
      </w:r>
      <w:r>
        <w:rPr>
          <w:rFonts w:asciiTheme="minorHAnsi" w:hAnsiTheme="minorHAnsi" w:cstheme="minorHAnsi"/>
          <w:b w:val="0"/>
          <w:sz w:val="22"/>
          <w:u w:val="none"/>
          <w:lang w:eastAsia="es-ES"/>
        </w:rPr>
        <w:t>”</w:t>
      </w:r>
    </w:p>
    <w:p w:rsidR="00E60907" w:rsidRDefault="00E60907" w:rsidP="00E60907">
      <w:pPr>
        <w:pStyle w:val="Entrada"/>
        <w:keepNext w:val="0"/>
        <w:keepLines w:val="0"/>
        <w:widowControl w:val="0"/>
        <w:spacing w:before="0" w:after="0"/>
        <w:ind w:left="568" w:hanging="284"/>
        <w:rPr>
          <w:rFonts w:asciiTheme="minorHAnsi" w:hAnsiTheme="minorHAnsi" w:cstheme="minorHAnsi"/>
          <w:b w:val="0"/>
          <w:sz w:val="22"/>
          <w:szCs w:val="22"/>
          <w:u w:val="none"/>
        </w:rPr>
      </w:pPr>
    </w:p>
    <w:p w:rsidR="00E60907" w:rsidRPr="00CF1227" w:rsidRDefault="00E60907" w:rsidP="00E60907">
      <w:pPr>
        <w:pStyle w:val="Entrada"/>
        <w:widowControl w:val="0"/>
        <w:numPr>
          <w:ilvl w:val="0"/>
          <w:numId w:val="2"/>
        </w:numPr>
        <w:rPr>
          <w:rFonts w:asciiTheme="minorHAnsi" w:hAnsiTheme="minorHAnsi" w:cstheme="minorHAnsi"/>
          <w:b w:val="0"/>
          <w:sz w:val="22"/>
          <w:u w:val="none"/>
          <w:lang w:eastAsia="es-ES"/>
        </w:rPr>
      </w:pPr>
      <w:r w:rsidRPr="00CF1227">
        <w:rPr>
          <w:rFonts w:asciiTheme="minorHAnsi" w:hAnsiTheme="minorHAnsi" w:cstheme="minorHAnsi"/>
          <w:b w:val="0"/>
          <w:sz w:val="22"/>
          <w:u w:val="none"/>
          <w:lang w:eastAsia="es-ES"/>
        </w:rPr>
        <w:lastRenderedPageBreak/>
        <w:t>La propuesta, no cumple con la totalidad de los requisitos solicitados, debido a que la declaración escrita y bajo protesta de decir verdad de no habérsele determinado, mediante publicación en el Diario Oficial de la Federación, impedimento para contratar o celebrar contratos con la Administración Pública Federal, y de no encontrarse en alguno de los supuestos que señalan la fracción XX del artículo 8 de la Ley Federal de Responsabilidades Administrativas de los Servidores Públicos, y los artículos 51 y 78 de la Ley de Obras Públicas y Servicios Relacionados con las Mismas, expresando estar al corriente del cumplimiento de sus obligaciones fiscales e indicando correo electrónico, conforme al anexo “E” de la invitación</w:t>
      </w:r>
      <w:r>
        <w:rPr>
          <w:rFonts w:asciiTheme="minorHAnsi" w:hAnsiTheme="minorHAnsi" w:cstheme="minorHAnsi"/>
          <w:b w:val="0"/>
          <w:sz w:val="22"/>
          <w:u w:val="none"/>
          <w:lang w:eastAsia="es-ES"/>
        </w:rPr>
        <w:t xml:space="preserve"> en comento</w:t>
      </w:r>
      <w:r w:rsidRPr="00CF1227">
        <w:rPr>
          <w:rFonts w:asciiTheme="minorHAnsi" w:hAnsiTheme="minorHAnsi" w:cstheme="minorHAnsi"/>
          <w:b w:val="0"/>
          <w:sz w:val="22"/>
          <w:u w:val="none"/>
          <w:lang w:eastAsia="es-ES"/>
        </w:rPr>
        <w:t xml:space="preserve">, hace referencia a una disposición distinta, ya que señala </w:t>
      </w:r>
      <w:r>
        <w:rPr>
          <w:rFonts w:asciiTheme="minorHAnsi" w:hAnsiTheme="minorHAnsi" w:cstheme="minorHAnsi"/>
          <w:b w:val="0"/>
          <w:sz w:val="22"/>
          <w:u w:val="none"/>
          <w:lang w:eastAsia="es-ES"/>
        </w:rPr>
        <w:t xml:space="preserve">el </w:t>
      </w:r>
      <w:r w:rsidRPr="00CF1227">
        <w:rPr>
          <w:rFonts w:asciiTheme="minorHAnsi" w:hAnsiTheme="minorHAnsi" w:cstheme="minorHAnsi"/>
          <w:b w:val="0"/>
          <w:sz w:val="22"/>
          <w:u w:val="none"/>
          <w:lang w:eastAsia="es-ES"/>
        </w:rPr>
        <w:t xml:space="preserve">no encontrarse en los supuestos de la “fracción XX del artículo 8 de la Ley de Responsabilidades Administrativas de los Servidores Públicos”. </w:t>
      </w:r>
    </w:p>
    <w:p w:rsidR="00E60907" w:rsidRDefault="00E60907" w:rsidP="00E60907">
      <w:pPr>
        <w:pStyle w:val="Entrada"/>
        <w:keepNext w:val="0"/>
        <w:keepLines w:val="0"/>
        <w:widowControl w:val="0"/>
        <w:spacing w:before="0"/>
        <w:ind w:left="644"/>
        <w:rPr>
          <w:rFonts w:asciiTheme="minorHAnsi" w:hAnsiTheme="minorHAnsi" w:cstheme="minorHAnsi"/>
          <w:b w:val="0"/>
          <w:sz w:val="22"/>
          <w:u w:val="none"/>
          <w:lang w:eastAsia="es-ES"/>
        </w:rPr>
      </w:pPr>
      <w:r w:rsidRPr="00CF1227">
        <w:rPr>
          <w:rFonts w:asciiTheme="minorHAnsi" w:hAnsiTheme="minorHAnsi" w:cstheme="minorHAnsi"/>
          <w:b w:val="0"/>
          <w:sz w:val="22"/>
          <w:u w:val="none"/>
          <w:lang w:eastAsia="es-ES"/>
        </w:rPr>
        <w:t>Por lo anterior, y en virtud de que este Instituto Central no tiene la certeza de que la empresa efectivamente no se encuentre inhabilitada para ejercer o desempeñar empleo, cargo o comisión en el servicio público y en consecuencia, de que pueda firmar el contrato sin impedimento alguno, la situación descrita en el párrafo precedente, afecta la solvencia de la proposición</w:t>
      </w:r>
      <w:r>
        <w:rPr>
          <w:rFonts w:asciiTheme="minorHAnsi" w:hAnsiTheme="minorHAnsi" w:cstheme="minorHAnsi"/>
          <w:b w:val="0"/>
          <w:sz w:val="22"/>
          <w:u w:val="none"/>
          <w:lang w:eastAsia="es-ES"/>
        </w:rPr>
        <w:t>.</w:t>
      </w:r>
    </w:p>
    <w:p w:rsidR="00E60907" w:rsidRPr="00F9388E" w:rsidRDefault="00E60907" w:rsidP="00E60907">
      <w:pPr>
        <w:pStyle w:val="Entrada"/>
        <w:keepNext w:val="0"/>
        <w:keepLines w:val="0"/>
        <w:widowControl w:val="0"/>
        <w:spacing w:before="0" w:after="0"/>
        <w:ind w:left="284"/>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 xml:space="preserve">Por lo antes expuesto, se desecha la propuesta de la sociedad Mantenimiento Arquitectónico Integral, S.A. de C.V., con fundamento en lo dispuesto en el numeral 14.1 de la </w:t>
      </w:r>
      <w:r>
        <w:rPr>
          <w:rFonts w:asciiTheme="minorHAnsi" w:hAnsiTheme="minorHAnsi" w:cstheme="minorHAnsi"/>
          <w:b w:val="0"/>
          <w:sz w:val="22"/>
          <w:szCs w:val="22"/>
          <w:u w:val="none"/>
        </w:rPr>
        <w:t>Invitación</w:t>
      </w:r>
      <w:r w:rsidRPr="00F9388E">
        <w:rPr>
          <w:rFonts w:asciiTheme="minorHAnsi" w:hAnsiTheme="minorHAnsi" w:cstheme="minorHAnsi"/>
          <w:b w:val="0"/>
          <w:sz w:val="22"/>
          <w:szCs w:val="22"/>
          <w:u w:val="none"/>
        </w:rPr>
        <w:t xml:space="preserve"> Nacional en materia de obra inmobiliaria No. 700-1</w:t>
      </w:r>
      <w:r>
        <w:rPr>
          <w:rFonts w:asciiTheme="minorHAnsi" w:hAnsiTheme="minorHAnsi" w:cstheme="minorHAnsi"/>
          <w:b w:val="0"/>
          <w:sz w:val="22"/>
          <w:szCs w:val="22"/>
          <w:u w:val="none"/>
        </w:rPr>
        <w:t>3</w:t>
      </w:r>
      <w:r w:rsidRPr="00F9388E">
        <w:rPr>
          <w:rFonts w:asciiTheme="minorHAnsi" w:hAnsiTheme="minorHAnsi" w:cstheme="minorHAnsi"/>
          <w:b w:val="0"/>
          <w:sz w:val="22"/>
          <w:szCs w:val="22"/>
          <w:u w:val="none"/>
        </w:rPr>
        <w:t>-0</w:t>
      </w:r>
      <w:r>
        <w:rPr>
          <w:rFonts w:asciiTheme="minorHAnsi" w:hAnsiTheme="minorHAnsi" w:cstheme="minorHAnsi"/>
          <w:b w:val="0"/>
          <w:sz w:val="22"/>
          <w:szCs w:val="22"/>
          <w:u w:val="none"/>
        </w:rPr>
        <w:t>045</w:t>
      </w:r>
      <w:r w:rsidRPr="00F9388E">
        <w:rPr>
          <w:rFonts w:asciiTheme="minorHAnsi" w:hAnsiTheme="minorHAnsi" w:cstheme="minorHAnsi"/>
          <w:b w:val="0"/>
          <w:sz w:val="22"/>
          <w:szCs w:val="22"/>
          <w:u w:val="none"/>
        </w:rPr>
        <w:t>-1, el cual señala como causa de desechamiento, el hecho de que los licitantes no cumplan con alguno de los requisitos especificados en el referido procedimiento, siempre y cuando tal situación afecte la solvencia de las proposiciones.</w:t>
      </w:r>
    </w:p>
    <w:p w:rsidR="00E60907" w:rsidRPr="00F9388E" w:rsidRDefault="00E60907" w:rsidP="00E60907">
      <w:pPr>
        <w:pStyle w:val="Entrada"/>
        <w:keepNext w:val="0"/>
        <w:keepLines w:val="0"/>
        <w:widowControl w:val="0"/>
        <w:spacing w:before="0" w:after="0"/>
        <w:ind w:left="284" w:hanging="284"/>
        <w:rPr>
          <w:rFonts w:asciiTheme="minorHAnsi" w:hAnsiTheme="minorHAnsi" w:cstheme="minorHAnsi"/>
          <w:b w:val="0"/>
          <w:sz w:val="22"/>
          <w:szCs w:val="22"/>
          <w:u w:val="none"/>
        </w:rPr>
      </w:pPr>
    </w:p>
    <w:p w:rsidR="00E60907" w:rsidRPr="006B5A95" w:rsidRDefault="00E60907" w:rsidP="00E60907">
      <w:pPr>
        <w:pStyle w:val="Entrada"/>
        <w:keepNext w:val="0"/>
        <w:keepLines w:val="0"/>
        <w:widowControl w:val="0"/>
        <w:spacing w:before="0"/>
        <w:ind w:left="284" w:hanging="284"/>
        <w:rPr>
          <w:rFonts w:asciiTheme="minorHAnsi" w:hAnsiTheme="minorHAnsi" w:cstheme="minorHAnsi"/>
          <w:sz w:val="22"/>
          <w:szCs w:val="22"/>
          <w:u w:val="none"/>
        </w:rPr>
      </w:pPr>
      <w:r>
        <w:rPr>
          <w:rFonts w:asciiTheme="minorHAnsi" w:hAnsiTheme="minorHAnsi" w:cstheme="minorHAnsi"/>
          <w:sz w:val="22"/>
          <w:szCs w:val="22"/>
          <w:u w:val="none"/>
        </w:rPr>
        <w:t>III.</w:t>
      </w:r>
      <w:r>
        <w:rPr>
          <w:rFonts w:asciiTheme="minorHAnsi" w:hAnsiTheme="minorHAnsi" w:cstheme="minorHAnsi"/>
          <w:sz w:val="22"/>
          <w:szCs w:val="22"/>
          <w:u w:val="none"/>
        </w:rPr>
        <w:tab/>
        <w:t xml:space="preserve">PROPOSICIÓN QUE </w:t>
      </w:r>
      <w:r w:rsidRPr="006B5A95">
        <w:rPr>
          <w:rFonts w:asciiTheme="minorHAnsi" w:hAnsiTheme="minorHAnsi" w:cstheme="minorHAnsi"/>
          <w:sz w:val="22"/>
          <w:szCs w:val="22"/>
          <w:u w:val="none"/>
        </w:rPr>
        <w:t>RESULTA SOLVENTE Y DESCRIPCIÓN EN LO GENERAL DE DICHA PROPOSICI</w:t>
      </w:r>
      <w:r>
        <w:rPr>
          <w:rFonts w:asciiTheme="minorHAnsi" w:hAnsiTheme="minorHAnsi" w:cstheme="minorHAnsi"/>
          <w:sz w:val="22"/>
          <w:szCs w:val="22"/>
          <w:u w:val="none"/>
        </w:rPr>
        <w:t>Ó</w:t>
      </w:r>
      <w:r w:rsidRPr="006B5A95">
        <w:rPr>
          <w:rFonts w:asciiTheme="minorHAnsi" w:hAnsiTheme="minorHAnsi" w:cstheme="minorHAnsi"/>
          <w:sz w:val="22"/>
          <w:szCs w:val="22"/>
          <w:u w:val="none"/>
        </w:rPr>
        <w:t>N.</w:t>
      </w:r>
    </w:p>
    <w:p w:rsidR="00E60907" w:rsidRDefault="00E60907" w:rsidP="00E60907">
      <w:pPr>
        <w:pStyle w:val="Entrada"/>
        <w:keepNext w:val="0"/>
        <w:keepLines w:val="0"/>
        <w:widowControl w:val="0"/>
        <w:spacing w:before="0"/>
        <w:ind w:left="567" w:hanging="567"/>
        <w:rPr>
          <w:rFonts w:asciiTheme="minorHAnsi" w:hAnsiTheme="minorHAnsi" w:cstheme="minorHAnsi"/>
          <w:b w:val="0"/>
          <w:sz w:val="22"/>
          <w:szCs w:val="22"/>
          <w:u w:val="none"/>
        </w:rPr>
      </w:pPr>
      <w:r w:rsidRPr="00F9388E">
        <w:rPr>
          <w:rFonts w:asciiTheme="minorHAnsi" w:hAnsiTheme="minorHAnsi" w:cstheme="minorHAnsi"/>
          <w:b w:val="0"/>
          <w:sz w:val="22"/>
          <w:szCs w:val="22"/>
          <w:u w:val="none"/>
        </w:rPr>
        <w:t>II.1</w:t>
      </w:r>
      <w:r w:rsidRPr="00F9388E">
        <w:rPr>
          <w:rFonts w:asciiTheme="minorHAnsi" w:hAnsiTheme="minorHAnsi" w:cstheme="minorHAnsi"/>
          <w:b w:val="0"/>
          <w:sz w:val="22"/>
          <w:szCs w:val="22"/>
          <w:u w:val="none"/>
        </w:rPr>
        <w:tab/>
      </w:r>
      <w:r>
        <w:rPr>
          <w:rFonts w:asciiTheme="minorHAnsi" w:hAnsiTheme="minorHAnsi" w:cstheme="minorHAnsi"/>
          <w:b w:val="0"/>
          <w:sz w:val="22"/>
          <w:szCs w:val="22"/>
          <w:u w:val="none"/>
        </w:rPr>
        <w:t>Desarrollos Técnicos y Construcciones</w:t>
      </w:r>
      <w:r w:rsidRPr="00F9388E">
        <w:rPr>
          <w:rFonts w:asciiTheme="minorHAnsi" w:hAnsiTheme="minorHAnsi" w:cstheme="minorHAnsi"/>
          <w:b w:val="0"/>
          <w:sz w:val="22"/>
          <w:szCs w:val="22"/>
          <w:u w:val="none"/>
        </w:rPr>
        <w:t>, S.A. de C.V.</w:t>
      </w:r>
    </w:p>
    <w:p w:rsidR="00E60907" w:rsidRPr="009524FD" w:rsidRDefault="00E60907" w:rsidP="00E60907">
      <w:pPr>
        <w:pStyle w:val="Entrada"/>
        <w:keepNext w:val="0"/>
        <w:keepLines w:val="0"/>
        <w:widowControl w:val="0"/>
        <w:spacing w:before="0" w:after="0"/>
        <w:ind w:left="284"/>
        <w:rPr>
          <w:rFonts w:asciiTheme="minorHAnsi" w:hAnsiTheme="minorHAnsi" w:cstheme="minorHAnsi"/>
          <w:b w:val="0"/>
          <w:sz w:val="22"/>
          <w:szCs w:val="22"/>
          <w:u w:val="none"/>
        </w:rPr>
      </w:pPr>
      <w:r w:rsidRPr="009524FD">
        <w:rPr>
          <w:rFonts w:asciiTheme="minorHAnsi" w:hAnsiTheme="minorHAnsi" w:cstheme="minorHAnsi"/>
          <w:b w:val="0"/>
          <w:sz w:val="22"/>
          <w:szCs w:val="22"/>
          <w:u w:val="none"/>
        </w:rPr>
        <w:t>El licitante presentó la información y documentación solicitada por el Banco en la invitación de referencia, cumpliendo con los requisitos solicitados en el presente procedimiento. La proposición del licitante no presenta errores aritméticos; entregó la totalidad de análisis de precios unitarios, los cuales se encuentran estructurados por costos directos, indirectos, de financiamiento y cargo por utilidad.</w:t>
      </w:r>
    </w:p>
    <w:p w:rsidR="00E60907" w:rsidRPr="009524FD" w:rsidRDefault="00E60907" w:rsidP="00E60907">
      <w:pPr>
        <w:pStyle w:val="Entrada"/>
        <w:keepNext w:val="0"/>
        <w:keepLines w:val="0"/>
        <w:widowControl w:val="0"/>
        <w:spacing w:before="0" w:after="0"/>
        <w:ind w:left="284"/>
        <w:rPr>
          <w:rFonts w:asciiTheme="minorHAnsi" w:hAnsiTheme="minorHAnsi" w:cstheme="minorHAnsi"/>
          <w:b w:val="0"/>
          <w:sz w:val="22"/>
          <w:szCs w:val="22"/>
          <w:u w:val="none"/>
        </w:rPr>
      </w:pPr>
    </w:p>
    <w:p w:rsidR="00E60907" w:rsidRPr="009524FD" w:rsidRDefault="00E60907" w:rsidP="00E60907">
      <w:pPr>
        <w:pStyle w:val="Entrada"/>
        <w:keepNext w:val="0"/>
        <w:keepLines w:val="0"/>
        <w:widowControl w:val="0"/>
        <w:spacing w:before="0" w:after="0"/>
        <w:ind w:left="284"/>
        <w:rPr>
          <w:rFonts w:asciiTheme="minorHAnsi" w:hAnsiTheme="minorHAnsi" w:cstheme="minorHAnsi"/>
          <w:b w:val="0"/>
          <w:sz w:val="22"/>
          <w:szCs w:val="22"/>
          <w:u w:val="none"/>
        </w:rPr>
      </w:pPr>
      <w:r w:rsidRPr="009524FD">
        <w:rPr>
          <w:rFonts w:asciiTheme="minorHAnsi" w:hAnsiTheme="minorHAnsi" w:cstheme="minorHAnsi"/>
          <w:b w:val="0"/>
          <w:sz w:val="22"/>
          <w:szCs w:val="22"/>
          <w:u w:val="none"/>
        </w:rPr>
        <w:t>De lo antes mencionado, con base en los criterios de evaluación contenidos en el numeral 13.1 de la carta invitación, se determinó que la propuesta es solvente.</w:t>
      </w:r>
    </w:p>
    <w:p w:rsidR="00E60907" w:rsidRPr="009524FD" w:rsidRDefault="00E60907" w:rsidP="00E60907">
      <w:pPr>
        <w:pStyle w:val="Entrada"/>
        <w:keepNext w:val="0"/>
        <w:keepLines w:val="0"/>
        <w:widowControl w:val="0"/>
        <w:spacing w:before="0" w:after="0"/>
        <w:ind w:left="284"/>
        <w:rPr>
          <w:rFonts w:asciiTheme="minorHAnsi" w:hAnsiTheme="minorHAnsi" w:cstheme="minorHAnsi"/>
          <w:b w:val="0"/>
          <w:sz w:val="22"/>
          <w:szCs w:val="22"/>
          <w:u w:val="none"/>
        </w:rPr>
      </w:pPr>
    </w:p>
    <w:p w:rsidR="00E60907" w:rsidRPr="009524FD" w:rsidRDefault="00E60907" w:rsidP="00E60907">
      <w:pPr>
        <w:pStyle w:val="Entrada"/>
        <w:keepNext w:val="0"/>
        <w:keepLines w:val="0"/>
        <w:widowControl w:val="0"/>
        <w:spacing w:before="0" w:after="0"/>
        <w:ind w:left="284"/>
        <w:rPr>
          <w:rFonts w:asciiTheme="minorHAnsi" w:hAnsiTheme="minorHAnsi" w:cstheme="minorHAnsi"/>
          <w:b w:val="0"/>
          <w:sz w:val="22"/>
          <w:szCs w:val="22"/>
          <w:u w:val="none"/>
        </w:rPr>
      </w:pPr>
      <w:r w:rsidRPr="009524FD">
        <w:rPr>
          <w:rFonts w:asciiTheme="minorHAnsi" w:hAnsiTheme="minorHAnsi" w:cstheme="minorHAnsi"/>
          <w:b w:val="0"/>
          <w:sz w:val="22"/>
          <w:szCs w:val="22"/>
          <w:u w:val="none"/>
        </w:rPr>
        <w:t xml:space="preserve">El monto total de la proposición asciende a la cantidad de: </w:t>
      </w:r>
      <w:r w:rsidRPr="00CF1227">
        <w:rPr>
          <w:rFonts w:asciiTheme="minorHAnsi" w:hAnsiTheme="minorHAnsi" w:cstheme="minorHAnsi"/>
          <w:sz w:val="22"/>
          <w:szCs w:val="22"/>
          <w:u w:val="none"/>
        </w:rPr>
        <w:t>$1’348,731.30 (UN MILLÓN TRESCIENTOS CUARENTA Y OCHO MIL SETECIENTOS TREINTA Y UN PESOS 30/100 M.N.)</w:t>
      </w:r>
      <w:r w:rsidRPr="009524FD">
        <w:rPr>
          <w:rFonts w:asciiTheme="minorHAnsi" w:hAnsiTheme="minorHAnsi" w:cstheme="minorHAnsi"/>
          <w:b w:val="0"/>
          <w:sz w:val="22"/>
          <w:szCs w:val="22"/>
          <w:u w:val="none"/>
        </w:rPr>
        <w:t>, más el correspondiente impuesto al valor agregado.</w:t>
      </w:r>
    </w:p>
    <w:p w:rsidR="00E60907" w:rsidRPr="009524FD" w:rsidRDefault="00E60907" w:rsidP="00E60907">
      <w:pPr>
        <w:pStyle w:val="Entrada"/>
        <w:keepNext w:val="0"/>
        <w:keepLines w:val="0"/>
        <w:widowControl w:val="0"/>
        <w:spacing w:before="0" w:after="0"/>
        <w:ind w:left="284"/>
        <w:rPr>
          <w:rFonts w:asciiTheme="minorHAnsi" w:hAnsiTheme="minorHAnsi" w:cstheme="minorHAnsi"/>
          <w:b w:val="0"/>
          <w:sz w:val="22"/>
          <w:szCs w:val="22"/>
          <w:u w:val="none"/>
        </w:rPr>
      </w:pPr>
    </w:p>
    <w:p w:rsidR="00E60907" w:rsidRPr="006B5A95" w:rsidRDefault="00E60907" w:rsidP="00E60907">
      <w:pPr>
        <w:pStyle w:val="Entrada"/>
        <w:keepNext w:val="0"/>
        <w:keepLines w:val="0"/>
        <w:widowControl w:val="0"/>
        <w:spacing w:before="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I</w:t>
      </w:r>
      <w:r>
        <w:rPr>
          <w:rFonts w:asciiTheme="minorHAnsi" w:hAnsiTheme="minorHAnsi" w:cstheme="minorHAnsi"/>
          <w:sz w:val="22"/>
          <w:szCs w:val="22"/>
          <w:u w:val="none"/>
        </w:rPr>
        <w:t>V</w:t>
      </w:r>
      <w:r w:rsidRPr="006B5A95">
        <w:rPr>
          <w:rFonts w:asciiTheme="minorHAnsi" w:hAnsiTheme="minorHAnsi" w:cstheme="minorHAnsi"/>
          <w:sz w:val="22"/>
          <w:szCs w:val="22"/>
          <w:u w:val="none"/>
        </w:rPr>
        <w:t>.</w:t>
      </w:r>
      <w:r w:rsidRPr="006B5A95">
        <w:rPr>
          <w:rFonts w:asciiTheme="minorHAnsi" w:hAnsiTheme="minorHAnsi" w:cstheme="minorHAnsi"/>
          <w:sz w:val="22"/>
          <w:szCs w:val="22"/>
          <w:u w:val="none"/>
        </w:rPr>
        <w:tab/>
        <w:t>NOMBRE DEL LICITANTE A QUIEN SE ADJUDICA EL CONTRATO, RAZONES QUE MOTIVARON LA ADJUDICACIÓN Y MONTO TOTAL DE LA PROPOSICIÓN.</w:t>
      </w:r>
    </w:p>
    <w:p w:rsidR="00E60907" w:rsidRPr="006B5A95" w:rsidRDefault="00E60907" w:rsidP="00E60907">
      <w:pPr>
        <w:pStyle w:val="Entrada"/>
        <w:keepNext w:val="0"/>
        <w:keepLines w:val="0"/>
        <w:widowControl w:val="0"/>
        <w:spacing w:before="0" w:after="0"/>
        <w:ind w:left="284" w:hanging="284"/>
        <w:rPr>
          <w:rFonts w:asciiTheme="minorHAnsi" w:hAnsiTheme="minorHAnsi" w:cstheme="minorHAnsi"/>
          <w:sz w:val="22"/>
          <w:szCs w:val="22"/>
          <w:u w:val="none"/>
        </w:rPr>
      </w:pPr>
    </w:p>
    <w:p w:rsidR="00E60907" w:rsidRPr="006B5A95" w:rsidRDefault="00E60907" w:rsidP="00E60907">
      <w:pPr>
        <w:pStyle w:val="Entrada"/>
        <w:keepNext w:val="0"/>
        <w:keepLines w:val="0"/>
        <w:widowControl w:val="0"/>
        <w:spacing w:before="0" w:after="0"/>
        <w:ind w:left="357"/>
        <w:rPr>
          <w:rFonts w:asciiTheme="minorHAnsi" w:hAnsiTheme="minorHAnsi" w:cstheme="minorHAnsi"/>
          <w:b w:val="0"/>
          <w:sz w:val="22"/>
          <w:szCs w:val="22"/>
          <w:u w:val="none"/>
        </w:rPr>
      </w:pPr>
      <w:r w:rsidRPr="006B5A95">
        <w:rPr>
          <w:rFonts w:asciiTheme="minorHAnsi" w:hAnsiTheme="minorHAnsi" w:cstheme="minorHAnsi"/>
          <w:b w:val="0"/>
          <w:sz w:val="22"/>
          <w:szCs w:val="22"/>
          <w:u w:val="none"/>
        </w:rPr>
        <w:t xml:space="preserve">Una vez hecha la evaluación de las proposiciones, el contrato se adjudica a </w:t>
      </w:r>
      <w:r w:rsidRPr="009524FD">
        <w:rPr>
          <w:rFonts w:asciiTheme="minorHAnsi" w:hAnsiTheme="minorHAnsi" w:cstheme="minorHAnsi"/>
          <w:sz w:val="22"/>
          <w:szCs w:val="22"/>
          <w:u w:val="none"/>
        </w:rPr>
        <w:t>Desarrollos Técnicos y Construcciones, S.A. de C.V.</w:t>
      </w:r>
      <w:r w:rsidRPr="006B5A95">
        <w:rPr>
          <w:rFonts w:asciiTheme="minorHAnsi" w:hAnsiTheme="minorHAnsi" w:cstheme="minorHAnsi"/>
          <w:b w:val="0"/>
          <w:sz w:val="22"/>
          <w:szCs w:val="22"/>
          <w:u w:val="none"/>
        </w:rPr>
        <w:t xml:space="preserve">, por un importe de </w:t>
      </w:r>
      <w:r w:rsidRPr="009524FD">
        <w:rPr>
          <w:rFonts w:asciiTheme="minorHAnsi" w:hAnsiTheme="minorHAnsi" w:cstheme="minorHAnsi"/>
          <w:sz w:val="22"/>
          <w:szCs w:val="22"/>
          <w:u w:val="none"/>
        </w:rPr>
        <w:t>$1’348,731.30 (UN MILLÓN TRESCIENTOS CUARENTA Y OCHO MIL SETECIENTOS TREINTA Y UN PESOS 30/100 M.N.)</w:t>
      </w:r>
      <w:r w:rsidRPr="006B5A95">
        <w:rPr>
          <w:rFonts w:asciiTheme="minorHAnsi" w:hAnsiTheme="minorHAnsi" w:cstheme="minorHAnsi"/>
          <w:bCs/>
          <w:sz w:val="22"/>
          <w:szCs w:val="22"/>
          <w:u w:val="none"/>
          <w:lang w:val="es-ES"/>
        </w:rPr>
        <w:t>,</w:t>
      </w:r>
      <w:r w:rsidRPr="006B5A95">
        <w:rPr>
          <w:rFonts w:asciiTheme="minorHAnsi" w:hAnsiTheme="minorHAnsi" w:cstheme="minorHAnsi"/>
          <w:b w:val="0"/>
          <w:sz w:val="22"/>
          <w:szCs w:val="22"/>
          <w:u w:val="none"/>
        </w:rPr>
        <w:t xml:space="preserve"> más el correspondiente impuesto al valor agregado, </w:t>
      </w:r>
      <w:r w:rsidRPr="00254612">
        <w:rPr>
          <w:rFonts w:asciiTheme="minorHAnsi" w:hAnsiTheme="minorHAnsi" w:cstheme="minorHAnsi"/>
          <w:b w:val="0"/>
          <w:sz w:val="22"/>
          <w:szCs w:val="22"/>
          <w:u w:val="none"/>
        </w:rPr>
        <w:t>toda vez que cumple con los requisitos establecidos en invitación, por lo que su proposición es solvente y la que oferta el precio más bajo, en consecuencia, garantiza el cumplimiento de sus obligaciones respectivas y asegura las mejores condiciones disponibles en cuanto a precio, calidad, financiamiento, oportunidad y d</w:t>
      </w:r>
      <w:r>
        <w:rPr>
          <w:rFonts w:asciiTheme="minorHAnsi" w:hAnsiTheme="minorHAnsi" w:cstheme="minorHAnsi"/>
          <w:b w:val="0"/>
          <w:sz w:val="22"/>
          <w:szCs w:val="22"/>
          <w:u w:val="none"/>
        </w:rPr>
        <w:t>emás circunstancias pertinentes</w:t>
      </w:r>
      <w:r w:rsidRPr="006B5A95">
        <w:rPr>
          <w:rFonts w:asciiTheme="minorHAnsi" w:hAnsiTheme="minorHAnsi" w:cstheme="minorHAnsi"/>
          <w:b w:val="0"/>
          <w:sz w:val="22"/>
          <w:szCs w:val="22"/>
          <w:u w:val="none"/>
        </w:rPr>
        <w:t>.</w:t>
      </w:r>
      <w:r>
        <w:rPr>
          <w:rFonts w:asciiTheme="minorHAnsi" w:hAnsiTheme="minorHAnsi" w:cstheme="minorHAnsi"/>
          <w:b w:val="0"/>
          <w:sz w:val="22"/>
          <w:szCs w:val="22"/>
          <w:u w:val="none"/>
        </w:rPr>
        <w:t xml:space="preserve"> Lo anterior de conformidad </w:t>
      </w:r>
      <w:r w:rsidRPr="00254612">
        <w:rPr>
          <w:rFonts w:asciiTheme="minorHAnsi" w:hAnsiTheme="minorHAnsi" w:cstheme="minorHAnsi"/>
          <w:b w:val="0"/>
          <w:sz w:val="22"/>
          <w:szCs w:val="22"/>
          <w:u w:val="none"/>
        </w:rPr>
        <w:t xml:space="preserve">con lo establecido en el </w:t>
      </w:r>
      <w:r w:rsidRPr="00254612">
        <w:rPr>
          <w:rFonts w:asciiTheme="minorHAnsi" w:hAnsiTheme="minorHAnsi" w:cstheme="minorHAnsi"/>
          <w:b w:val="0"/>
          <w:sz w:val="22"/>
          <w:szCs w:val="22"/>
          <w:u w:val="none"/>
        </w:rPr>
        <w:lastRenderedPageBreak/>
        <w:t>penúltimo párrafo del artículo 31 de las Normas del Banco de México en materia de obra inmobiliaria y servicios relacionados con la misma, así como en el numeral 13.2 de la invitación</w:t>
      </w:r>
      <w:r>
        <w:rPr>
          <w:rFonts w:asciiTheme="minorHAnsi" w:hAnsiTheme="minorHAnsi" w:cstheme="minorHAnsi"/>
          <w:b w:val="0"/>
          <w:sz w:val="22"/>
          <w:szCs w:val="22"/>
          <w:u w:val="none"/>
        </w:rPr>
        <w:t>.</w:t>
      </w:r>
      <w:r w:rsidRPr="006B5A95">
        <w:rPr>
          <w:rFonts w:asciiTheme="minorHAnsi" w:hAnsiTheme="minorHAnsi" w:cstheme="minorHAnsi"/>
          <w:b w:val="0"/>
          <w:sz w:val="22"/>
          <w:szCs w:val="22"/>
          <w:u w:val="none"/>
        </w:rPr>
        <w:t xml:space="preserve"> </w:t>
      </w:r>
    </w:p>
    <w:p w:rsidR="00E60907" w:rsidRPr="006B5A95" w:rsidRDefault="00E60907" w:rsidP="00E60907">
      <w:pPr>
        <w:pStyle w:val="Entrada"/>
        <w:keepNext w:val="0"/>
        <w:keepLines w:val="0"/>
        <w:widowControl w:val="0"/>
        <w:spacing w:before="0" w:after="0"/>
        <w:ind w:left="357"/>
        <w:rPr>
          <w:rFonts w:asciiTheme="minorHAnsi" w:hAnsiTheme="minorHAnsi" w:cstheme="minorHAnsi"/>
          <w:b w:val="0"/>
          <w:sz w:val="22"/>
          <w:szCs w:val="22"/>
          <w:u w:val="none"/>
        </w:rPr>
      </w:pPr>
    </w:p>
    <w:p w:rsidR="00E60907" w:rsidRPr="006B5A95" w:rsidRDefault="00E60907" w:rsidP="00E60907">
      <w:pPr>
        <w:pStyle w:val="Entrada"/>
        <w:keepNext w:val="0"/>
        <w:keepLines w:val="0"/>
        <w:widowControl w:val="0"/>
        <w:spacing w:before="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V.</w:t>
      </w:r>
      <w:r w:rsidRPr="006B5A95">
        <w:rPr>
          <w:rFonts w:asciiTheme="minorHAnsi" w:hAnsiTheme="minorHAnsi" w:cstheme="minorHAnsi"/>
          <w:sz w:val="22"/>
          <w:szCs w:val="22"/>
          <w:u w:val="none"/>
        </w:rPr>
        <w:tab/>
        <w:t>TÉRMINOS Y CONDICIONES PARA LA FIRMA DEL CONTRATO, PRESENTACIÓN DE GARANTÍAS Y ENTREGA DE ANTICIPO.</w:t>
      </w:r>
    </w:p>
    <w:p w:rsidR="00E60907" w:rsidRPr="006B5A95" w:rsidRDefault="00E60907" w:rsidP="00E60907">
      <w:pPr>
        <w:pStyle w:val="Entrada"/>
        <w:keepNext w:val="0"/>
        <w:keepLines w:val="0"/>
        <w:widowControl w:val="0"/>
        <w:spacing w:before="0" w:after="0"/>
        <w:ind w:left="284" w:hanging="284"/>
        <w:rPr>
          <w:rFonts w:asciiTheme="minorHAnsi" w:hAnsiTheme="minorHAnsi" w:cstheme="minorHAnsi"/>
          <w:sz w:val="22"/>
          <w:szCs w:val="22"/>
          <w:u w:val="none"/>
        </w:rPr>
      </w:pPr>
    </w:p>
    <w:p w:rsidR="00E60907" w:rsidRPr="006B5A95" w:rsidRDefault="00E60907" w:rsidP="00E60907">
      <w:pPr>
        <w:pStyle w:val="Entrada"/>
        <w:keepNext w:val="0"/>
        <w:keepLines w:val="0"/>
        <w:widowControl w:val="0"/>
        <w:spacing w:before="0" w:after="0"/>
        <w:ind w:left="360"/>
        <w:rPr>
          <w:rFonts w:asciiTheme="minorHAnsi" w:hAnsiTheme="minorHAnsi" w:cstheme="minorHAnsi"/>
          <w:b w:val="0"/>
          <w:sz w:val="22"/>
          <w:szCs w:val="22"/>
          <w:u w:val="none"/>
          <w:lang w:val="es-ES"/>
        </w:rPr>
      </w:pPr>
      <w:r>
        <w:rPr>
          <w:rFonts w:asciiTheme="minorHAnsi" w:hAnsiTheme="minorHAnsi" w:cstheme="minorHAnsi"/>
          <w:sz w:val="22"/>
          <w:szCs w:val="22"/>
          <w:u w:val="none"/>
        </w:rPr>
        <w:t>a)</w:t>
      </w:r>
      <w:r w:rsidRPr="006B5A95">
        <w:rPr>
          <w:rFonts w:asciiTheme="minorHAnsi" w:hAnsiTheme="minorHAnsi" w:cstheme="minorHAnsi"/>
          <w:sz w:val="22"/>
          <w:szCs w:val="22"/>
          <w:u w:val="none"/>
        </w:rPr>
        <w:t xml:space="preserve"> Firma del Contrato.</w:t>
      </w:r>
    </w:p>
    <w:p w:rsidR="00E60907" w:rsidRPr="006B5A95" w:rsidRDefault="00E60907" w:rsidP="00E60907">
      <w:pPr>
        <w:pStyle w:val="Entrada"/>
        <w:keepNext w:val="0"/>
        <w:keepLines w:val="0"/>
        <w:widowControl w:val="0"/>
        <w:spacing w:before="0" w:after="0"/>
        <w:ind w:left="360"/>
        <w:rPr>
          <w:rFonts w:asciiTheme="minorHAnsi" w:hAnsiTheme="minorHAnsi" w:cstheme="minorHAnsi"/>
          <w:b w:val="0"/>
          <w:sz w:val="22"/>
          <w:szCs w:val="22"/>
          <w:u w:val="none"/>
          <w:lang w:val="es-ES"/>
        </w:rPr>
      </w:pPr>
    </w:p>
    <w:p w:rsidR="00E60907" w:rsidRPr="006B5A95" w:rsidRDefault="00E60907" w:rsidP="00E60907">
      <w:pPr>
        <w:pStyle w:val="Entrada"/>
        <w:keepNext w:val="0"/>
        <w:keepLines w:val="0"/>
        <w:widowControl w:val="0"/>
        <w:spacing w:before="0" w:after="0"/>
        <w:ind w:left="360"/>
        <w:rPr>
          <w:rFonts w:asciiTheme="minorHAnsi" w:hAnsiTheme="minorHAnsi" w:cstheme="minorHAnsi"/>
          <w:b w:val="0"/>
          <w:bCs/>
          <w:sz w:val="22"/>
          <w:szCs w:val="22"/>
          <w:u w:val="none"/>
        </w:rPr>
      </w:pPr>
      <w:r>
        <w:rPr>
          <w:rFonts w:asciiTheme="minorHAnsi" w:hAnsiTheme="minorHAnsi" w:cstheme="minorHAnsi"/>
          <w:b w:val="0"/>
          <w:sz w:val="22"/>
          <w:szCs w:val="22"/>
          <w:u w:val="none"/>
          <w:lang w:val="es-ES"/>
        </w:rPr>
        <w:t xml:space="preserve">La persona facultada </w:t>
      </w:r>
      <w:r w:rsidRPr="006B5A95">
        <w:rPr>
          <w:rFonts w:asciiTheme="minorHAnsi" w:hAnsiTheme="minorHAnsi" w:cstheme="minorHAnsi"/>
          <w:b w:val="0"/>
          <w:sz w:val="22"/>
          <w:szCs w:val="22"/>
          <w:u w:val="none"/>
          <w:lang w:val="es-ES"/>
        </w:rPr>
        <w:t xml:space="preserve">deberá presentarse a firmar el contrato respectivo a más tardar </w:t>
      </w:r>
      <w:r>
        <w:rPr>
          <w:rFonts w:asciiTheme="minorHAnsi" w:hAnsiTheme="minorHAnsi" w:cstheme="minorHAnsi"/>
          <w:b w:val="0"/>
          <w:sz w:val="22"/>
          <w:szCs w:val="22"/>
          <w:u w:val="none"/>
          <w:lang w:val="es-ES"/>
        </w:rPr>
        <w:t>a las 17:00 horas d</w:t>
      </w:r>
      <w:r w:rsidRPr="006B5A95">
        <w:rPr>
          <w:rFonts w:asciiTheme="minorHAnsi" w:hAnsiTheme="minorHAnsi" w:cstheme="minorHAnsi"/>
          <w:b w:val="0"/>
          <w:sz w:val="22"/>
          <w:szCs w:val="22"/>
          <w:u w:val="none"/>
          <w:lang w:val="es-ES"/>
        </w:rPr>
        <w:t xml:space="preserve">el </w:t>
      </w:r>
      <w:r>
        <w:rPr>
          <w:rFonts w:asciiTheme="minorHAnsi" w:hAnsiTheme="minorHAnsi" w:cstheme="minorHAnsi"/>
          <w:b w:val="0"/>
          <w:sz w:val="22"/>
          <w:szCs w:val="22"/>
          <w:u w:val="none"/>
          <w:lang w:val="es-ES"/>
        </w:rPr>
        <w:t>19 de julio de 2013</w:t>
      </w:r>
      <w:r w:rsidRPr="006B5A95">
        <w:rPr>
          <w:rFonts w:asciiTheme="minorHAnsi" w:hAnsiTheme="minorHAnsi" w:cstheme="minorHAnsi"/>
          <w:b w:val="0"/>
          <w:sz w:val="22"/>
          <w:szCs w:val="22"/>
          <w:u w:val="none"/>
          <w:lang w:val="es-ES"/>
        </w:rPr>
        <w:t xml:space="preserve">, en </w:t>
      </w:r>
      <w:r>
        <w:rPr>
          <w:rFonts w:asciiTheme="minorHAnsi" w:hAnsiTheme="minorHAnsi" w:cstheme="minorHAnsi"/>
          <w:b w:val="0"/>
          <w:sz w:val="22"/>
          <w:szCs w:val="22"/>
          <w:u w:val="none"/>
          <w:lang w:val="es-ES"/>
        </w:rPr>
        <w:t xml:space="preserve">la </w:t>
      </w:r>
      <w:r w:rsidRPr="00FC67B5">
        <w:rPr>
          <w:rFonts w:asciiTheme="minorHAnsi" w:hAnsiTheme="minorHAnsi" w:cstheme="minorHAnsi"/>
          <w:b w:val="0"/>
          <w:sz w:val="22"/>
          <w:szCs w:val="22"/>
          <w:u w:val="none"/>
          <w:lang w:val="es-ES"/>
        </w:rPr>
        <w:t>Oficina de Administración y Control de Contratos de Obra, ubicada en Bolívar No. 19, Colonia Centro, Delegación Cuauhtémoc, C.P. 06059, en México, Distrito Federal</w:t>
      </w:r>
      <w:r w:rsidRPr="006B5A95">
        <w:rPr>
          <w:rFonts w:asciiTheme="minorHAnsi" w:hAnsiTheme="minorHAnsi" w:cstheme="minorHAnsi"/>
          <w:b w:val="0"/>
          <w:sz w:val="22"/>
          <w:szCs w:val="22"/>
          <w:u w:val="none"/>
          <w:lang w:val="es-ES"/>
        </w:rPr>
        <w:t xml:space="preserve">. </w:t>
      </w:r>
    </w:p>
    <w:p w:rsidR="00E60907" w:rsidRPr="006B5A95" w:rsidRDefault="00E60907" w:rsidP="00E60907">
      <w:pPr>
        <w:pStyle w:val="Entrada"/>
        <w:keepNext w:val="0"/>
        <w:keepLines w:val="0"/>
        <w:widowControl w:val="0"/>
        <w:spacing w:before="0" w:after="0"/>
        <w:ind w:left="357"/>
        <w:rPr>
          <w:rFonts w:asciiTheme="minorHAnsi" w:hAnsiTheme="minorHAnsi" w:cstheme="minorHAnsi"/>
          <w:sz w:val="22"/>
          <w:szCs w:val="22"/>
          <w:u w:val="none"/>
        </w:rPr>
      </w:pPr>
    </w:p>
    <w:p w:rsidR="00E60907" w:rsidRPr="006B5A95" w:rsidRDefault="00E60907" w:rsidP="00E60907">
      <w:pPr>
        <w:pStyle w:val="Entrada"/>
        <w:keepNext w:val="0"/>
        <w:keepLines w:val="0"/>
        <w:widowControl w:val="0"/>
        <w:spacing w:before="0" w:after="0"/>
        <w:ind w:left="357"/>
        <w:rPr>
          <w:rFonts w:asciiTheme="minorHAnsi" w:eastAsia="Calibri" w:hAnsiTheme="minorHAnsi" w:cstheme="minorHAnsi"/>
          <w:sz w:val="22"/>
          <w:szCs w:val="22"/>
          <w:u w:val="none"/>
        </w:rPr>
      </w:pPr>
      <w:r>
        <w:rPr>
          <w:rFonts w:asciiTheme="minorHAnsi" w:hAnsiTheme="minorHAnsi" w:cstheme="minorHAnsi"/>
          <w:sz w:val="22"/>
          <w:szCs w:val="22"/>
          <w:u w:val="none"/>
        </w:rPr>
        <w:t xml:space="preserve">b) </w:t>
      </w:r>
      <w:r w:rsidRPr="006B5A95">
        <w:rPr>
          <w:rFonts w:asciiTheme="minorHAnsi" w:eastAsia="Calibri" w:hAnsiTheme="minorHAnsi" w:cstheme="minorHAnsi"/>
          <w:sz w:val="22"/>
          <w:szCs w:val="22"/>
          <w:u w:val="none"/>
        </w:rPr>
        <w:t>Presentación de garantías.</w:t>
      </w:r>
    </w:p>
    <w:p w:rsidR="00E60907" w:rsidRPr="006B5A95" w:rsidRDefault="00E60907" w:rsidP="00E60907">
      <w:pPr>
        <w:pStyle w:val="Entrada"/>
        <w:keepNext w:val="0"/>
        <w:keepLines w:val="0"/>
        <w:widowControl w:val="0"/>
        <w:spacing w:before="0" w:after="0"/>
        <w:ind w:left="357"/>
        <w:rPr>
          <w:rFonts w:asciiTheme="minorHAnsi" w:hAnsiTheme="minorHAnsi" w:cstheme="minorHAnsi"/>
          <w:b w:val="0"/>
          <w:sz w:val="22"/>
          <w:szCs w:val="22"/>
          <w:u w:val="none"/>
          <w:lang w:val="es-ES"/>
        </w:rPr>
      </w:pPr>
    </w:p>
    <w:p w:rsidR="00E60907" w:rsidRPr="006B5A95" w:rsidRDefault="00E60907" w:rsidP="00E60907">
      <w:pPr>
        <w:pStyle w:val="Entrada"/>
        <w:keepNext w:val="0"/>
        <w:keepLines w:val="0"/>
        <w:widowControl w:val="0"/>
        <w:spacing w:before="0" w:after="0"/>
        <w:ind w:left="360"/>
        <w:rPr>
          <w:rFonts w:asciiTheme="minorHAnsi" w:hAnsiTheme="minorHAnsi" w:cstheme="minorHAnsi"/>
          <w:b w:val="0"/>
          <w:sz w:val="22"/>
          <w:szCs w:val="22"/>
          <w:u w:val="none"/>
          <w:lang w:val="es-ES"/>
        </w:rPr>
      </w:pPr>
      <w:r w:rsidRPr="006B5A95">
        <w:rPr>
          <w:rFonts w:asciiTheme="minorHAnsi" w:eastAsia="Calibri" w:hAnsiTheme="minorHAnsi" w:cstheme="minorHAnsi"/>
          <w:b w:val="0"/>
          <w:bCs/>
          <w:sz w:val="22"/>
          <w:szCs w:val="22"/>
          <w:u w:val="none"/>
        </w:rPr>
        <w:t xml:space="preserve">De acuerdo a lo previsto en el numeral </w:t>
      </w:r>
      <w:r>
        <w:rPr>
          <w:rFonts w:asciiTheme="minorHAnsi" w:eastAsia="Calibri" w:hAnsiTheme="minorHAnsi" w:cstheme="minorHAnsi"/>
          <w:b w:val="0"/>
          <w:bCs/>
          <w:sz w:val="22"/>
          <w:szCs w:val="22"/>
          <w:u w:val="none"/>
        </w:rPr>
        <w:t>5</w:t>
      </w:r>
      <w:r w:rsidRPr="006B5A95">
        <w:rPr>
          <w:rFonts w:asciiTheme="minorHAnsi" w:eastAsia="Calibri" w:hAnsiTheme="minorHAnsi" w:cstheme="minorHAnsi"/>
          <w:b w:val="0"/>
          <w:bCs/>
          <w:sz w:val="22"/>
          <w:szCs w:val="22"/>
          <w:u w:val="none"/>
        </w:rPr>
        <w:t xml:space="preserve"> y en el modelo de contrato adjunto a la invitación de referencia, las </w:t>
      </w:r>
      <w:r w:rsidRPr="006B5A95">
        <w:rPr>
          <w:rFonts w:asciiTheme="minorHAnsi" w:eastAsia="Calibri" w:hAnsiTheme="minorHAnsi" w:cstheme="minorHAnsi"/>
          <w:b w:val="0"/>
          <w:sz w:val="22"/>
          <w:szCs w:val="22"/>
          <w:u w:val="none"/>
        </w:rPr>
        <w:t xml:space="preserve">garantías relativas al anticipo y al cumplimiento del contrato, se deberán expedir por un monto igual al del anticipo, incluyendo el importe del impuesto al valor agregado, la primera, y por el 10% del importe total del contrato, antes del impuesto citado, la segunda, </w:t>
      </w:r>
      <w:r w:rsidRPr="006B5A95">
        <w:rPr>
          <w:rFonts w:asciiTheme="minorHAnsi" w:eastAsia="Calibri" w:hAnsiTheme="minorHAnsi" w:cstheme="minorHAnsi"/>
          <w:b w:val="0"/>
          <w:sz w:val="22"/>
          <w:szCs w:val="22"/>
          <w:u w:val="none"/>
          <w:lang w:val="es-ES"/>
        </w:rPr>
        <w:t xml:space="preserve">y deberán ser presentadas al Banco </w:t>
      </w:r>
      <w:r>
        <w:rPr>
          <w:rFonts w:asciiTheme="minorHAnsi" w:eastAsia="Calibri" w:hAnsiTheme="minorHAnsi" w:cstheme="minorHAnsi"/>
          <w:b w:val="0"/>
          <w:sz w:val="22"/>
          <w:szCs w:val="22"/>
          <w:u w:val="none"/>
          <w:lang w:val="es-ES"/>
        </w:rPr>
        <w:t xml:space="preserve">en un plazo de </w:t>
      </w:r>
      <w:r w:rsidRPr="00DC2B5E">
        <w:rPr>
          <w:rFonts w:asciiTheme="minorHAnsi" w:eastAsia="Calibri" w:hAnsiTheme="minorHAnsi" w:cstheme="minorHAnsi"/>
          <w:b w:val="0"/>
          <w:sz w:val="22"/>
          <w:szCs w:val="22"/>
          <w:u w:val="none"/>
          <w:lang w:val="es-ES"/>
        </w:rPr>
        <w:t>dentro de los 15 días naturales siguientes a la fecha de notificación del</w:t>
      </w:r>
      <w:r>
        <w:rPr>
          <w:rFonts w:asciiTheme="minorHAnsi" w:eastAsia="Calibri" w:hAnsiTheme="minorHAnsi" w:cstheme="minorHAnsi"/>
          <w:b w:val="0"/>
          <w:sz w:val="22"/>
          <w:szCs w:val="22"/>
          <w:u w:val="none"/>
          <w:lang w:val="es-ES"/>
        </w:rPr>
        <w:t xml:space="preserve"> presente </w:t>
      </w:r>
      <w:r w:rsidRPr="00DC2B5E">
        <w:rPr>
          <w:rFonts w:asciiTheme="minorHAnsi" w:eastAsia="Calibri" w:hAnsiTheme="minorHAnsi" w:cstheme="minorHAnsi"/>
          <w:b w:val="0"/>
          <w:sz w:val="22"/>
          <w:szCs w:val="22"/>
          <w:u w:val="none"/>
          <w:lang w:val="es-ES"/>
        </w:rPr>
        <w:t>fallo</w:t>
      </w:r>
      <w:r w:rsidRPr="006B5A95">
        <w:rPr>
          <w:rFonts w:asciiTheme="minorHAnsi" w:eastAsia="Calibri" w:hAnsiTheme="minorHAnsi" w:cstheme="minorHAnsi"/>
          <w:b w:val="0"/>
          <w:sz w:val="22"/>
          <w:szCs w:val="22"/>
          <w:u w:val="none"/>
          <w:lang w:val="es-ES"/>
        </w:rPr>
        <w:t xml:space="preserve">, en </w:t>
      </w:r>
      <w:r w:rsidRPr="00DC2B5E">
        <w:rPr>
          <w:rFonts w:asciiTheme="minorHAnsi" w:hAnsiTheme="minorHAnsi" w:cstheme="minorHAnsi"/>
          <w:b w:val="0"/>
          <w:sz w:val="22"/>
          <w:szCs w:val="22"/>
          <w:u w:val="none"/>
          <w:lang w:val="es-ES"/>
        </w:rPr>
        <w:t>la Oficina de Administración y Control de Contratos de Obra, ubicada en Bolívar No. 19, Colonia Centro, Delegación Cuauhtémoc, C.P. 06059, en México, Distrito Federal</w:t>
      </w:r>
      <w:r w:rsidRPr="006B5A95">
        <w:rPr>
          <w:rFonts w:asciiTheme="minorHAnsi" w:hAnsiTheme="minorHAnsi" w:cstheme="minorHAnsi"/>
          <w:b w:val="0"/>
          <w:sz w:val="22"/>
          <w:szCs w:val="22"/>
          <w:u w:val="none"/>
          <w:lang w:val="es-ES"/>
        </w:rPr>
        <w:t>.</w:t>
      </w:r>
    </w:p>
    <w:p w:rsidR="00E60907" w:rsidRPr="006B5A95" w:rsidRDefault="00E60907" w:rsidP="00E60907">
      <w:pPr>
        <w:pStyle w:val="Entrada"/>
        <w:keepNext w:val="0"/>
        <w:keepLines w:val="0"/>
        <w:widowControl w:val="0"/>
        <w:spacing w:before="0" w:after="0"/>
        <w:ind w:left="360"/>
        <w:rPr>
          <w:rFonts w:asciiTheme="minorHAnsi" w:hAnsiTheme="minorHAnsi" w:cstheme="minorHAnsi"/>
          <w:b w:val="0"/>
          <w:sz w:val="22"/>
          <w:szCs w:val="22"/>
          <w:u w:val="none"/>
          <w:lang w:val="es-ES"/>
        </w:rPr>
      </w:pPr>
      <w:r w:rsidRPr="006B5A95">
        <w:rPr>
          <w:rFonts w:asciiTheme="minorHAnsi" w:hAnsiTheme="minorHAnsi" w:cstheme="minorHAnsi"/>
          <w:b w:val="0"/>
          <w:sz w:val="22"/>
          <w:szCs w:val="22"/>
          <w:u w:val="none"/>
          <w:lang w:val="es-ES"/>
        </w:rPr>
        <w:t xml:space="preserve"> </w:t>
      </w:r>
    </w:p>
    <w:p w:rsidR="00E60907" w:rsidRPr="006B5A95" w:rsidRDefault="00E60907" w:rsidP="00E60907">
      <w:pPr>
        <w:pStyle w:val="Entrada"/>
        <w:keepNext w:val="0"/>
        <w:keepLines w:val="0"/>
        <w:widowControl w:val="0"/>
        <w:spacing w:before="0" w:after="0"/>
        <w:ind w:left="360"/>
        <w:rPr>
          <w:rFonts w:asciiTheme="minorHAnsi" w:eastAsia="Calibri" w:hAnsiTheme="minorHAnsi" w:cstheme="minorHAnsi"/>
          <w:sz w:val="22"/>
          <w:szCs w:val="22"/>
          <w:u w:val="none"/>
        </w:rPr>
      </w:pPr>
      <w:r>
        <w:rPr>
          <w:rFonts w:asciiTheme="minorHAnsi" w:eastAsia="Calibri" w:hAnsiTheme="minorHAnsi" w:cstheme="minorHAnsi"/>
          <w:sz w:val="22"/>
          <w:szCs w:val="22"/>
          <w:u w:val="none"/>
        </w:rPr>
        <w:t xml:space="preserve">c) </w:t>
      </w:r>
      <w:r w:rsidRPr="006B5A95">
        <w:rPr>
          <w:rFonts w:asciiTheme="minorHAnsi" w:eastAsia="Calibri" w:hAnsiTheme="minorHAnsi" w:cstheme="minorHAnsi"/>
          <w:sz w:val="22"/>
          <w:szCs w:val="22"/>
          <w:u w:val="none"/>
        </w:rPr>
        <w:t xml:space="preserve">Entrega de anticipo. </w:t>
      </w:r>
    </w:p>
    <w:p w:rsidR="00E60907" w:rsidRPr="006B5A95" w:rsidRDefault="00E60907" w:rsidP="00E60907">
      <w:pPr>
        <w:pStyle w:val="Entrada"/>
        <w:keepNext w:val="0"/>
        <w:keepLines w:val="0"/>
        <w:widowControl w:val="0"/>
        <w:spacing w:before="0" w:after="0"/>
        <w:ind w:left="360"/>
        <w:rPr>
          <w:rFonts w:asciiTheme="minorHAnsi" w:eastAsia="Calibri" w:hAnsiTheme="minorHAnsi" w:cstheme="minorHAnsi"/>
          <w:sz w:val="22"/>
          <w:szCs w:val="22"/>
          <w:u w:val="none"/>
        </w:rPr>
      </w:pPr>
    </w:p>
    <w:p w:rsidR="00E60907" w:rsidRPr="00FE7CC2" w:rsidRDefault="00E60907" w:rsidP="00E60907">
      <w:pPr>
        <w:pStyle w:val="Entrada"/>
        <w:keepNext w:val="0"/>
        <w:keepLines w:val="0"/>
        <w:widowControl w:val="0"/>
        <w:spacing w:before="0" w:after="0"/>
        <w:ind w:left="360"/>
        <w:rPr>
          <w:rFonts w:asciiTheme="minorHAnsi" w:eastAsia="Calibri" w:hAnsiTheme="minorHAnsi" w:cstheme="minorHAnsi"/>
          <w:b w:val="0"/>
          <w:sz w:val="22"/>
          <w:szCs w:val="22"/>
          <w:u w:val="none"/>
          <w:lang w:val="es-ES"/>
        </w:rPr>
      </w:pPr>
      <w:r w:rsidRPr="006B5A95">
        <w:rPr>
          <w:rFonts w:asciiTheme="minorHAnsi" w:eastAsia="Calibri" w:hAnsiTheme="minorHAnsi" w:cstheme="minorHAnsi"/>
          <w:b w:val="0"/>
          <w:bCs/>
          <w:sz w:val="22"/>
          <w:szCs w:val="22"/>
          <w:u w:val="none"/>
        </w:rPr>
        <w:t xml:space="preserve">De acuerdo a lo previsto en el numeral </w:t>
      </w:r>
      <w:r>
        <w:rPr>
          <w:rFonts w:asciiTheme="minorHAnsi" w:eastAsia="Calibri" w:hAnsiTheme="minorHAnsi" w:cstheme="minorHAnsi"/>
          <w:b w:val="0"/>
          <w:bCs/>
          <w:sz w:val="22"/>
          <w:szCs w:val="22"/>
          <w:u w:val="none"/>
        </w:rPr>
        <w:t>10.2</w:t>
      </w:r>
      <w:r w:rsidRPr="006B5A95">
        <w:rPr>
          <w:rFonts w:asciiTheme="minorHAnsi" w:eastAsia="Calibri" w:hAnsiTheme="minorHAnsi" w:cstheme="minorHAnsi"/>
          <w:b w:val="0"/>
          <w:bCs/>
          <w:sz w:val="22"/>
          <w:szCs w:val="22"/>
          <w:u w:val="none"/>
        </w:rPr>
        <w:t xml:space="preserve"> y en el modelo de contrato adjunto a la invitación de referencia, s</w:t>
      </w:r>
      <w:r w:rsidRPr="006B5A95">
        <w:rPr>
          <w:rFonts w:asciiTheme="minorHAnsi" w:eastAsia="Calibri" w:hAnsiTheme="minorHAnsi" w:cstheme="minorHAnsi"/>
          <w:b w:val="0"/>
          <w:sz w:val="22"/>
          <w:szCs w:val="22"/>
          <w:u w:val="none"/>
        </w:rPr>
        <w:t xml:space="preserve">e otorgará, en una sola exhibición, un anticipo del 30% de la asignación presupuestal autorizada para el contrato respectivo en el ejercicio </w:t>
      </w:r>
      <w:r>
        <w:rPr>
          <w:rFonts w:asciiTheme="minorHAnsi" w:eastAsia="Calibri" w:hAnsiTheme="minorHAnsi" w:cstheme="minorHAnsi"/>
          <w:b w:val="0"/>
          <w:sz w:val="22"/>
          <w:szCs w:val="22"/>
          <w:u w:val="none"/>
        </w:rPr>
        <w:t>2013</w:t>
      </w:r>
      <w:r w:rsidRPr="006B5A95">
        <w:rPr>
          <w:rFonts w:asciiTheme="minorHAnsi" w:eastAsia="Calibri" w:hAnsiTheme="minorHAnsi" w:cstheme="minorHAnsi"/>
          <w:b w:val="0"/>
          <w:sz w:val="22"/>
          <w:szCs w:val="22"/>
          <w:u w:val="none"/>
        </w:rPr>
        <w:t xml:space="preserve">, </w:t>
      </w:r>
      <w:r w:rsidRPr="00FE7CC2">
        <w:rPr>
          <w:rFonts w:asciiTheme="minorHAnsi" w:eastAsia="Calibri" w:hAnsiTheme="minorHAnsi" w:cstheme="minorHAnsi"/>
          <w:b w:val="0"/>
          <w:sz w:val="22"/>
          <w:szCs w:val="22"/>
          <w:u w:val="none"/>
        </w:rPr>
        <w:t>para ser destinado para inicio de obra y demás conceptos expresados en el artículo 48 fracción II de las Normas del Banco de México en Materia de Obra Inmobiliaria y Servicios Relacionados con la Misma. Dicho anticipo se realizará en una sola exhibición y se amortizará en los términos establecidos en el contrato que al efecto se celebre.</w:t>
      </w:r>
    </w:p>
    <w:p w:rsidR="00E60907" w:rsidRPr="006B5A95" w:rsidRDefault="00E60907" w:rsidP="00E60907">
      <w:pPr>
        <w:pStyle w:val="Entrada"/>
        <w:keepNext w:val="0"/>
        <w:keepLines w:val="0"/>
        <w:widowControl w:val="0"/>
        <w:spacing w:before="0" w:after="0"/>
        <w:ind w:left="360"/>
        <w:rPr>
          <w:rFonts w:asciiTheme="minorHAnsi" w:eastAsia="Calibri" w:hAnsiTheme="minorHAnsi" w:cstheme="minorHAnsi"/>
          <w:b w:val="0"/>
          <w:sz w:val="22"/>
          <w:szCs w:val="22"/>
          <w:u w:val="none"/>
        </w:rPr>
      </w:pPr>
    </w:p>
    <w:p w:rsidR="00E60907" w:rsidRPr="006B5A95" w:rsidRDefault="00E60907" w:rsidP="00E60907">
      <w:pPr>
        <w:pStyle w:val="Entrada"/>
        <w:keepNext w:val="0"/>
        <w:keepLines w:val="0"/>
        <w:widowControl w:val="0"/>
        <w:spacing w:before="0" w:after="0"/>
        <w:ind w:left="360"/>
        <w:rPr>
          <w:rFonts w:asciiTheme="minorHAnsi" w:eastAsia="Calibri" w:hAnsiTheme="minorHAnsi" w:cstheme="minorHAnsi"/>
          <w:b w:val="0"/>
          <w:sz w:val="22"/>
          <w:szCs w:val="22"/>
          <w:u w:val="none"/>
          <w:lang w:val="es-ES"/>
        </w:rPr>
      </w:pPr>
      <w:r w:rsidRPr="006B5A95">
        <w:rPr>
          <w:rFonts w:asciiTheme="minorHAnsi" w:eastAsia="Calibri" w:hAnsiTheme="minorHAnsi" w:cstheme="minorHAnsi"/>
          <w:b w:val="0"/>
          <w:sz w:val="22"/>
          <w:szCs w:val="22"/>
          <w:u w:val="none"/>
          <w:lang w:val="es-ES"/>
        </w:rPr>
        <w:t xml:space="preserve">El pago del citado anticipo se efectuará mediante una transferencia bancaria que realice el Banco al licitante ganador, en los plazos, términos y condiciones establecidos en el modelo del contrato </w:t>
      </w:r>
      <w:r>
        <w:rPr>
          <w:rFonts w:asciiTheme="minorHAnsi" w:eastAsia="Calibri" w:hAnsiTheme="minorHAnsi" w:cstheme="minorHAnsi"/>
          <w:b w:val="0"/>
          <w:sz w:val="22"/>
          <w:szCs w:val="22"/>
          <w:u w:val="none"/>
          <w:lang w:val="es-ES"/>
        </w:rPr>
        <w:t>respectivo</w:t>
      </w:r>
      <w:r w:rsidRPr="006B5A95">
        <w:rPr>
          <w:rFonts w:asciiTheme="minorHAnsi" w:eastAsia="Calibri" w:hAnsiTheme="minorHAnsi" w:cstheme="minorHAnsi"/>
          <w:b w:val="0"/>
          <w:sz w:val="22"/>
          <w:szCs w:val="22"/>
          <w:u w:val="none"/>
          <w:lang w:val="es-ES"/>
        </w:rPr>
        <w:t>.</w:t>
      </w:r>
    </w:p>
    <w:p w:rsidR="00E60907" w:rsidRPr="006B5A95" w:rsidRDefault="00E60907" w:rsidP="00E60907">
      <w:pPr>
        <w:rPr>
          <w:rFonts w:asciiTheme="minorHAnsi" w:hAnsiTheme="minorHAnsi" w:cstheme="minorHAnsi"/>
          <w:b/>
          <w:sz w:val="22"/>
          <w:szCs w:val="22"/>
          <w:lang w:val="es-MX" w:eastAsia="es-MX"/>
        </w:rPr>
      </w:pPr>
    </w:p>
    <w:p w:rsidR="00E60907" w:rsidRPr="006B5A95" w:rsidRDefault="00E60907" w:rsidP="00E60907">
      <w:pPr>
        <w:pStyle w:val="Entrada"/>
        <w:keepNext w:val="0"/>
        <w:keepLines w:val="0"/>
        <w:widowControl w:val="0"/>
        <w:spacing w:before="0"/>
        <w:ind w:left="284" w:hanging="284"/>
        <w:rPr>
          <w:rFonts w:asciiTheme="minorHAnsi" w:hAnsiTheme="minorHAnsi" w:cstheme="minorHAnsi"/>
          <w:sz w:val="22"/>
          <w:szCs w:val="22"/>
          <w:u w:val="none"/>
        </w:rPr>
      </w:pPr>
      <w:r w:rsidRPr="006B5A95">
        <w:rPr>
          <w:rFonts w:asciiTheme="minorHAnsi" w:hAnsiTheme="minorHAnsi" w:cstheme="minorHAnsi"/>
          <w:sz w:val="22"/>
          <w:szCs w:val="22"/>
          <w:u w:val="none"/>
        </w:rPr>
        <w:t>V</w:t>
      </w:r>
      <w:r>
        <w:rPr>
          <w:rFonts w:asciiTheme="minorHAnsi" w:hAnsiTheme="minorHAnsi" w:cstheme="minorHAnsi"/>
          <w:sz w:val="22"/>
          <w:szCs w:val="22"/>
          <w:u w:val="none"/>
        </w:rPr>
        <w:t>I</w:t>
      </w:r>
      <w:r w:rsidRPr="006B5A95">
        <w:rPr>
          <w:rFonts w:asciiTheme="minorHAnsi" w:hAnsiTheme="minorHAnsi" w:cstheme="minorHAnsi"/>
          <w:sz w:val="22"/>
          <w:szCs w:val="22"/>
          <w:u w:val="none"/>
        </w:rPr>
        <w:t>.</w:t>
      </w:r>
      <w:r>
        <w:rPr>
          <w:rFonts w:asciiTheme="minorHAnsi" w:hAnsiTheme="minorHAnsi" w:cstheme="minorHAnsi"/>
          <w:sz w:val="22"/>
          <w:szCs w:val="22"/>
          <w:u w:val="none"/>
        </w:rPr>
        <w:tab/>
      </w:r>
      <w:r w:rsidRPr="006B5A95">
        <w:rPr>
          <w:rFonts w:asciiTheme="minorHAnsi" w:hAnsiTheme="minorHAnsi" w:cstheme="minorHAnsi"/>
          <w:sz w:val="22"/>
          <w:szCs w:val="22"/>
          <w:u w:val="none"/>
        </w:rPr>
        <w:t>NOMBRE, CARGO, FACULTADES Y FIRMA DE LOS RESPONSABLES DE LA EMISIÓN DEL FALLO Y DE LA EVALUACIÓN DE LAS PROPOSICIONES.</w:t>
      </w:r>
    </w:p>
    <w:p w:rsidR="00E60907" w:rsidRPr="006B5A95" w:rsidRDefault="00E60907" w:rsidP="00E60907">
      <w:pPr>
        <w:pStyle w:val="Entrada"/>
        <w:keepNext w:val="0"/>
        <w:keepLines w:val="0"/>
        <w:widowControl w:val="0"/>
        <w:spacing w:before="0" w:after="0"/>
        <w:ind w:left="426" w:hanging="426"/>
        <w:rPr>
          <w:rFonts w:asciiTheme="minorHAnsi" w:hAnsiTheme="minorHAnsi" w:cstheme="minorHAnsi"/>
          <w:sz w:val="22"/>
          <w:szCs w:val="22"/>
          <w:u w:val="none"/>
        </w:rPr>
      </w:pPr>
    </w:p>
    <w:p w:rsidR="00E60907" w:rsidRPr="006B5A95" w:rsidRDefault="00E60907" w:rsidP="00E60907">
      <w:pPr>
        <w:widowControl w:val="0"/>
        <w:autoSpaceDE w:val="0"/>
        <w:autoSpaceDN w:val="0"/>
        <w:adjustRightInd w:val="0"/>
        <w:ind w:firstLine="284"/>
        <w:jc w:val="both"/>
        <w:rPr>
          <w:rFonts w:asciiTheme="minorHAnsi" w:hAnsiTheme="minorHAnsi" w:cstheme="minorHAnsi"/>
          <w:b/>
          <w:sz w:val="22"/>
          <w:szCs w:val="22"/>
        </w:rPr>
      </w:pPr>
      <w:r>
        <w:rPr>
          <w:rFonts w:asciiTheme="minorHAnsi" w:hAnsiTheme="minorHAnsi" w:cstheme="minorHAnsi"/>
          <w:b/>
          <w:sz w:val="22"/>
          <w:szCs w:val="22"/>
        </w:rPr>
        <w:t>a)</w:t>
      </w:r>
      <w:r w:rsidRPr="006B5A95">
        <w:rPr>
          <w:rFonts w:asciiTheme="minorHAnsi" w:hAnsiTheme="minorHAnsi" w:cstheme="minorHAnsi"/>
          <w:b/>
          <w:sz w:val="22"/>
          <w:szCs w:val="22"/>
        </w:rPr>
        <w:t xml:space="preserve"> Responsables de la emisión del fallo.</w:t>
      </w:r>
    </w:p>
    <w:p w:rsidR="00E60907" w:rsidRPr="006B5A95" w:rsidRDefault="00E60907" w:rsidP="00E60907">
      <w:pPr>
        <w:widowControl w:val="0"/>
        <w:autoSpaceDE w:val="0"/>
        <w:autoSpaceDN w:val="0"/>
        <w:adjustRightInd w:val="0"/>
        <w:ind w:left="426"/>
        <w:jc w:val="both"/>
        <w:rPr>
          <w:rFonts w:asciiTheme="minorHAnsi" w:hAnsiTheme="minorHAnsi" w:cstheme="minorHAnsi"/>
          <w:b/>
          <w:sz w:val="22"/>
          <w:szCs w:val="22"/>
        </w:rPr>
      </w:pPr>
    </w:p>
    <w:p w:rsidR="00E60907" w:rsidRPr="006B5A95" w:rsidRDefault="00E60907" w:rsidP="00E60907">
      <w:pPr>
        <w:widowControl w:val="0"/>
        <w:autoSpaceDE w:val="0"/>
        <w:autoSpaceDN w:val="0"/>
        <w:adjustRightInd w:val="0"/>
        <w:ind w:left="284"/>
        <w:jc w:val="both"/>
        <w:rPr>
          <w:rFonts w:asciiTheme="minorHAnsi" w:hAnsiTheme="minorHAnsi" w:cstheme="minorHAnsi"/>
          <w:sz w:val="22"/>
          <w:szCs w:val="22"/>
        </w:rPr>
      </w:pPr>
      <w:r w:rsidRPr="006B5A95">
        <w:rPr>
          <w:rFonts w:asciiTheme="minorHAnsi" w:hAnsiTheme="minorHAnsi" w:cstheme="minorHAnsi"/>
          <w:sz w:val="22"/>
          <w:szCs w:val="22"/>
        </w:rPr>
        <w:t xml:space="preserve">El presente fallo se emite en forma mancomunada por </w:t>
      </w:r>
      <w:r>
        <w:rPr>
          <w:rFonts w:asciiTheme="minorHAnsi" w:hAnsiTheme="minorHAnsi" w:cstheme="minorHAnsi"/>
          <w:sz w:val="22"/>
          <w:szCs w:val="22"/>
        </w:rPr>
        <w:t>el Ingeniero Silverio Tenorio Pérez</w:t>
      </w:r>
      <w:r w:rsidRPr="00DC2B5E">
        <w:rPr>
          <w:rFonts w:asciiTheme="minorHAnsi" w:hAnsiTheme="minorHAnsi" w:cstheme="minorHAnsi"/>
          <w:sz w:val="22"/>
          <w:szCs w:val="22"/>
        </w:rPr>
        <w:t xml:space="preserve"> </w:t>
      </w:r>
      <w:r w:rsidRPr="006B5A95">
        <w:rPr>
          <w:rFonts w:asciiTheme="minorHAnsi" w:hAnsiTheme="minorHAnsi" w:cstheme="minorHAnsi"/>
          <w:sz w:val="22"/>
          <w:szCs w:val="22"/>
        </w:rPr>
        <w:t xml:space="preserve">y </w:t>
      </w:r>
      <w:r>
        <w:rPr>
          <w:rFonts w:asciiTheme="minorHAnsi" w:hAnsiTheme="minorHAnsi" w:cstheme="minorHAnsi"/>
          <w:sz w:val="22"/>
          <w:szCs w:val="22"/>
        </w:rPr>
        <w:t>el Licenciado Claudio Ramón García Osorio</w:t>
      </w:r>
      <w:r w:rsidRPr="006B5A95">
        <w:rPr>
          <w:rFonts w:asciiTheme="minorHAnsi" w:hAnsiTheme="minorHAnsi" w:cstheme="minorHAnsi"/>
          <w:sz w:val="22"/>
          <w:szCs w:val="22"/>
        </w:rPr>
        <w:t xml:space="preserve">, en su carácter de </w:t>
      </w:r>
      <w:r>
        <w:rPr>
          <w:rFonts w:asciiTheme="minorHAnsi" w:hAnsiTheme="minorHAnsi" w:cstheme="minorHAnsi"/>
          <w:sz w:val="22"/>
          <w:szCs w:val="22"/>
        </w:rPr>
        <w:t>Gerente de Inmobiliaria y de Servicios y Subgerente de Administración Inmobiliaria</w:t>
      </w:r>
      <w:r w:rsidRPr="006B5A95">
        <w:rPr>
          <w:rFonts w:asciiTheme="minorHAnsi" w:hAnsiTheme="minorHAnsi" w:cstheme="minorHAnsi"/>
          <w:sz w:val="22"/>
          <w:szCs w:val="22"/>
        </w:rPr>
        <w:t xml:space="preserve">, respectivamente, adscritos a la Dirección de Recursos Materiales del Banco de México, cuya firma se encuentra al calce, con fundamento en </w:t>
      </w:r>
      <w:r w:rsidRPr="006B5A95">
        <w:rPr>
          <w:rFonts w:asciiTheme="minorHAnsi" w:hAnsiTheme="minorHAnsi" w:cstheme="minorHAnsi"/>
          <w:sz w:val="22"/>
          <w:szCs w:val="22"/>
          <w:lang w:val="es-MX" w:eastAsia="es-MX"/>
        </w:rPr>
        <w:t xml:space="preserve">los artículos 8°, 10° y 27 Bis del Reglamento Interior del Banco de México, así como Segundo del </w:t>
      </w:r>
      <w:r w:rsidRPr="006B5A95">
        <w:rPr>
          <w:rFonts w:asciiTheme="minorHAnsi" w:hAnsiTheme="minorHAnsi" w:cstheme="minorHAnsi"/>
          <w:sz w:val="22"/>
          <w:szCs w:val="22"/>
        </w:rPr>
        <w:t>Acuerdo de Adscripción de sus Unidades Administrativas.</w:t>
      </w:r>
    </w:p>
    <w:p w:rsidR="00E60907" w:rsidRDefault="00E60907" w:rsidP="00E60907">
      <w:pPr>
        <w:widowControl w:val="0"/>
        <w:autoSpaceDE w:val="0"/>
        <w:autoSpaceDN w:val="0"/>
        <w:adjustRightInd w:val="0"/>
        <w:ind w:left="426"/>
        <w:jc w:val="both"/>
        <w:rPr>
          <w:rFonts w:asciiTheme="minorHAnsi" w:hAnsiTheme="minorHAnsi" w:cstheme="minorHAnsi"/>
          <w:sz w:val="22"/>
          <w:szCs w:val="22"/>
        </w:rPr>
      </w:pPr>
    </w:p>
    <w:p w:rsidR="00E60907" w:rsidRDefault="00E60907" w:rsidP="00E60907">
      <w:pPr>
        <w:widowControl w:val="0"/>
        <w:autoSpaceDE w:val="0"/>
        <w:autoSpaceDN w:val="0"/>
        <w:adjustRightInd w:val="0"/>
        <w:ind w:left="426"/>
        <w:jc w:val="both"/>
        <w:rPr>
          <w:rFonts w:asciiTheme="minorHAnsi" w:hAnsiTheme="minorHAnsi" w:cstheme="minorHAnsi"/>
          <w:sz w:val="22"/>
          <w:szCs w:val="22"/>
        </w:rPr>
      </w:pPr>
    </w:p>
    <w:p w:rsidR="00E60907" w:rsidRPr="006B5A95" w:rsidRDefault="00E60907" w:rsidP="00E60907">
      <w:pPr>
        <w:widowControl w:val="0"/>
        <w:autoSpaceDE w:val="0"/>
        <w:autoSpaceDN w:val="0"/>
        <w:adjustRightInd w:val="0"/>
        <w:ind w:left="426"/>
        <w:jc w:val="both"/>
        <w:rPr>
          <w:rFonts w:asciiTheme="minorHAnsi" w:hAnsiTheme="minorHAnsi" w:cstheme="minorHAnsi"/>
          <w:sz w:val="22"/>
          <w:szCs w:val="22"/>
        </w:rPr>
      </w:pPr>
    </w:p>
    <w:p w:rsidR="00E60907" w:rsidRDefault="00E60907" w:rsidP="00E60907">
      <w:pPr>
        <w:widowControl w:val="0"/>
        <w:autoSpaceDE w:val="0"/>
        <w:autoSpaceDN w:val="0"/>
        <w:adjustRightInd w:val="0"/>
        <w:ind w:firstLine="284"/>
        <w:jc w:val="both"/>
        <w:rPr>
          <w:rFonts w:asciiTheme="minorHAnsi" w:hAnsiTheme="minorHAnsi" w:cstheme="minorHAnsi"/>
          <w:b/>
          <w:sz w:val="22"/>
          <w:szCs w:val="22"/>
        </w:rPr>
      </w:pPr>
      <w:r>
        <w:rPr>
          <w:rFonts w:asciiTheme="minorHAnsi" w:hAnsiTheme="minorHAnsi" w:cstheme="minorHAnsi"/>
          <w:b/>
          <w:sz w:val="22"/>
          <w:szCs w:val="22"/>
        </w:rPr>
        <w:t>b)</w:t>
      </w:r>
      <w:r w:rsidRPr="006B5A95">
        <w:rPr>
          <w:rFonts w:asciiTheme="minorHAnsi" w:hAnsiTheme="minorHAnsi" w:cstheme="minorHAnsi"/>
          <w:b/>
          <w:sz w:val="22"/>
          <w:szCs w:val="22"/>
        </w:rPr>
        <w:t xml:space="preserve"> Responsable de la evaluación de las proposiciones.</w:t>
      </w:r>
    </w:p>
    <w:p w:rsidR="00E60907" w:rsidRPr="006B5A95" w:rsidRDefault="00E60907" w:rsidP="00E60907">
      <w:pPr>
        <w:widowControl w:val="0"/>
        <w:tabs>
          <w:tab w:val="left" w:pos="567"/>
        </w:tabs>
        <w:autoSpaceDE w:val="0"/>
        <w:autoSpaceDN w:val="0"/>
        <w:adjustRightInd w:val="0"/>
        <w:ind w:left="426"/>
        <w:jc w:val="both"/>
        <w:rPr>
          <w:rFonts w:asciiTheme="minorHAnsi" w:hAnsiTheme="minorHAnsi" w:cstheme="minorHAnsi"/>
          <w:b/>
          <w:sz w:val="22"/>
          <w:szCs w:val="22"/>
        </w:rPr>
      </w:pPr>
    </w:p>
    <w:p w:rsidR="00E60907" w:rsidRPr="00C83D3A" w:rsidRDefault="00E60907" w:rsidP="00E60907">
      <w:pPr>
        <w:widowControl w:val="0"/>
        <w:autoSpaceDE w:val="0"/>
        <w:autoSpaceDN w:val="0"/>
        <w:adjustRightInd w:val="0"/>
        <w:ind w:left="284"/>
        <w:jc w:val="both"/>
        <w:rPr>
          <w:rFonts w:asciiTheme="minorHAnsi" w:hAnsiTheme="minorHAnsi" w:cstheme="minorHAnsi"/>
          <w:sz w:val="22"/>
          <w:szCs w:val="22"/>
        </w:rPr>
      </w:pPr>
      <w:r w:rsidRPr="00C83D3A">
        <w:rPr>
          <w:rFonts w:asciiTheme="minorHAnsi" w:hAnsiTheme="minorHAnsi" w:cstheme="minorHAnsi"/>
          <w:sz w:val="22"/>
          <w:szCs w:val="22"/>
        </w:rPr>
        <w:t>Los responsables de la evaluación de los aspectos técnicos y económicos de las proposiciones, en el presente procedimiento, son el Ing. José Juan Vidal Salas y el Ing. Gerardo Reyes Jiménez, en su carácter de Jefe e Ingeniero de Mantenimiento de Inmuebles, respectivamente, adscritos a la Gerencia Inmobiliaria y de Servicios de la Dirección de Recursos Materiales del Banco de México.</w:t>
      </w:r>
    </w:p>
    <w:p w:rsidR="00E60907" w:rsidRDefault="00E60907" w:rsidP="00E60907">
      <w:pPr>
        <w:ind w:left="284"/>
        <w:jc w:val="both"/>
        <w:rPr>
          <w:rFonts w:asciiTheme="minorHAnsi" w:hAnsiTheme="minorHAnsi" w:cstheme="minorHAnsi"/>
          <w:sz w:val="22"/>
          <w:szCs w:val="22"/>
          <w:lang w:val="es-MX" w:eastAsia="es-MX"/>
        </w:rPr>
      </w:pPr>
    </w:p>
    <w:p w:rsidR="00E60907" w:rsidRPr="006B5A95" w:rsidRDefault="00E60907" w:rsidP="00E60907">
      <w:pPr>
        <w:ind w:left="284"/>
        <w:jc w:val="both"/>
        <w:rPr>
          <w:rFonts w:asciiTheme="minorHAnsi" w:hAnsiTheme="minorHAnsi" w:cstheme="minorHAnsi"/>
          <w:sz w:val="22"/>
          <w:szCs w:val="22"/>
          <w:lang w:val="es-MX" w:eastAsia="es-MX"/>
        </w:rPr>
      </w:pPr>
    </w:p>
    <w:p w:rsidR="00E60907" w:rsidRPr="006B5A95" w:rsidRDefault="00E60907" w:rsidP="00E60907">
      <w:pPr>
        <w:pStyle w:val="cjletrapeque"/>
        <w:spacing w:after="0"/>
        <w:jc w:val="center"/>
        <w:rPr>
          <w:rFonts w:asciiTheme="minorHAnsi" w:hAnsiTheme="minorHAnsi" w:cstheme="minorHAnsi"/>
          <w:b/>
          <w:sz w:val="22"/>
          <w:szCs w:val="22"/>
          <w:lang w:val="pt-BR"/>
        </w:rPr>
      </w:pPr>
      <w:r w:rsidRPr="006B5A95">
        <w:rPr>
          <w:rFonts w:asciiTheme="minorHAnsi" w:hAnsiTheme="minorHAnsi" w:cstheme="minorHAnsi"/>
          <w:b/>
          <w:sz w:val="22"/>
          <w:szCs w:val="22"/>
          <w:lang w:val="pt-BR"/>
        </w:rPr>
        <w:t>BANCO DE MÉXICO</w:t>
      </w:r>
    </w:p>
    <w:tbl>
      <w:tblPr>
        <w:tblW w:w="10244" w:type="dxa"/>
        <w:jc w:val="center"/>
        <w:tblInd w:w="-132" w:type="dxa"/>
        <w:tblLayout w:type="fixed"/>
        <w:tblLook w:val="01E0" w:firstRow="1" w:lastRow="1" w:firstColumn="1" w:lastColumn="1" w:noHBand="0" w:noVBand="0"/>
      </w:tblPr>
      <w:tblGrid>
        <w:gridCol w:w="5052"/>
        <w:gridCol w:w="5192"/>
      </w:tblGrid>
      <w:tr w:rsidR="00E60907" w:rsidRPr="006B5A95" w:rsidTr="000D3EC2">
        <w:trPr>
          <w:jc w:val="center"/>
        </w:trPr>
        <w:tc>
          <w:tcPr>
            <w:tcW w:w="5052" w:type="dxa"/>
          </w:tcPr>
          <w:p w:rsidR="00E60907" w:rsidRPr="006B5A95" w:rsidRDefault="00E60907" w:rsidP="000D3EC2">
            <w:pPr>
              <w:pStyle w:val="cjletrapeque"/>
              <w:spacing w:after="0"/>
              <w:jc w:val="center"/>
              <w:rPr>
                <w:rFonts w:asciiTheme="minorHAnsi" w:hAnsiTheme="minorHAnsi" w:cstheme="minorHAnsi"/>
                <w:sz w:val="22"/>
                <w:szCs w:val="22"/>
              </w:rPr>
            </w:pPr>
          </w:p>
          <w:p w:rsidR="00E60907" w:rsidRDefault="00E60907" w:rsidP="000D3EC2">
            <w:pPr>
              <w:pStyle w:val="cjletrapeque"/>
              <w:spacing w:after="0"/>
              <w:jc w:val="center"/>
              <w:rPr>
                <w:rFonts w:asciiTheme="minorHAnsi" w:hAnsiTheme="minorHAnsi" w:cstheme="minorHAnsi"/>
                <w:sz w:val="22"/>
                <w:szCs w:val="22"/>
              </w:rPr>
            </w:pPr>
          </w:p>
          <w:p w:rsidR="00E60907" w:rsidRPr="006B5A95" w:rsidRDefault="00E60907" w:rsidP="000D3EC2">
            <w:pPr>
              <w:pStyle w:val="cjletrapeque"/>
              <w:spacing w:after="0"/>
              <w:jc w:val="center"/>
              <w:rPr>
                <w:rFonts w:asciiTheme="minorHAnsi" w:hAnsiTheme="minorHAnsi" w:cstheme="minorHAnsi"/>
                <w:sz w:val="22"/>
                <w:szCs w:val="22"/>
              </w:rPr>
            </w:pPr>
          </w:p>
          <w:p w:rsidR="00E60907" w:rsidRDefault="00E60907" w:rsidP="000D3EC2">
            <w:pPr>
              <w:pStyle w:val="cjletrapeque"/>
              <w:spacing w:after="0"/>
              <w:jc w:val="center"/>
              <w:rPr>
                <w:rFonts w:asciiTheme="minorHAnsi" w:hAnsiTheme="minorHAnsi" w:cstheme="minorHAnsi"/>
                <w:sz w:val="22"/>
                <w:szCs w:val="22"/>
              </w:rPr>
            </w:pPr>
          </w:p>
          <w:p w:rsidR="00E60907" w:rsidRPr="006B5A95" w:rsidRDefault="00E60907" w:rsidP="000D3EC2">
            <w:pPr>
              <w:pStyle w:val="cjletrapeque"/>
              <w:spacing w:after="0"/>
              <w:jc w:val="center"/>
              <w:rPr>
                <w:rFonts w:asciiTheme="minorHAnsi" w:hAnsiTheme="minorHAnsi" w:cstheme="minorHAnsi"/>
                <w:sz w:val="22"/>
                <w:szCs w:val="22"/>
              </w:rPr>
            </w:pPr>
            <w:r w:rsidRPr="006B5A95">
              <w:rPr>
                <w:rFonts w:asciiTheme="minorHAnsi" w:hAnsiTheme="minorHAnsi" w:cstheme="minorHAnsi"/>
                <w:sz w:val="22"/>
                <w:szCs w:val="22"/>
              </w:rPr>
              <w:t>_________________________________________</w:t>
            </w:r>
          </w:p>
          <w:p w:rsidR="00E60907" w:rsidRDefault="00E60907" w:rsidP="000D3EC2">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ING. SILVERIO TENORIO PÉREZ</w:t>
            </w:r>
          </w:p>
          <w:p w:rsidR="00E60907" w:rsidRPr="006B5A95" w:rsidRDefault="00E60907" w:rsidP="000D3EC2">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GERENTE DE INMOBILIARIA Y DE SERVICIOS</w:t>
            </w:r>
          </w:p>
        </w:tc>
        <w:tc>
          <w:tcPr>
            <w:tcW w:w="5192" w:type="dxa"/>
          </w:tcPr>
          <w:p w:rsidR="00E60907" w:rsidRPr="006B5A95" w:rsidRDefault="00E60907" w:rsidP="000D3EC2">
            <w:pPr>
              <w:pStyle w:val="cjletrapeque"/>
              <w:tabs>
                <w:tab w:val="left" w:pos="825"/>
              </w:tabs>
              <w:spacing w:after="0"/>
              <w:jc w:val="left"/>
              <w:rPr>
                <w:rFonts w:asciiTheme="minorHAnsi" w:hAnsiTheme="minorHAnsi" w:cstheme="minorHAnsi"/>
                <w:sz w:val="22"/>
                <w:szCs w:val="22"/>
              </w:rPr>
            </w:pPr>
            <w:r w:rsidRPr="006B5A95">
              <w:rPr>
                <w:rFonts w:asciiTheme="minorHAnsi" w:hAnsiTheme="minorHAnsi" w:cstheme="minorHAnsi"/>
                <w:sz w:val="22"/>
                <w:szCs w:val="22"/>
              </w:rPr>
              <w:tab/>
            </w:r>
          </w:p>
          <w:p w:rsidR="00E60907" w:rsidRPr="006B5A95" w:rsidRDefault="00E60907" w:rsidP="000D3EC2">
            <w:pPr>
              <w:pStyle w:val="cjletrapeque"/>
              <w:tabs>
                <w:tab w:val="left" w:pos="825"/>
              </w:tabs>
              <w:spacing w:after="0"/>
              <w:jc w:val="left"/>
              <w:rPr>
                <w:rFonts w:asciiTheme="minorHAnsi" w:hAnsiTheme="minorHAnsi" w:cstheme="minorHAnsi"/>
                <w:sz w:val="22"/>
                <w:szCs w:val="22"/>
              </w:rPr>
            </w:pPr>
            <w:r w:rsidRPr="006B5A95">
              <w:rPr>
                <w:rFonts w:asciiTheme="minorHAnsi" w:hAnsiTheme="minorHAnsi" w:cstheme="minorHAnsi"/>
                <w:sz w:val="22"/>
                <w:szCs w:val="22"/>
              </w:rPr>
              <w:tab/>
            </w:r>
          </w:p>
          <w:p w:rsidR="00E60907" w:rsidRPr="006B5A95" w:rsidRDefault="00E60907" w:rsidP="000D3EC2">
            <w:pPr>
              <w:pStyle w:val="cjletrapeque"/>
              <w:spacing w:after="0"/>
              <w:jc w:val="center"/>
              <w:rPr>
                <w:rFonts w:asciiTheme="minorHAnsi" w:hAnsiTheme="minorHAnsi" w:cstheme="minorHAnsi"/>
                <w:sz w:val="22"/>
                <w:szCs w:val="22"/>
              </w:rPr>
            </w:pPr>
          </w:p>
          <w:p w:rsidR="00E60907" w:rsidRPr="006B5A95" w:rsidRDefault="00E60907" w:rsidP="000D3EC2">
            <w:pPr>
              <w:pStyle w:val="cjletrapeque"/>
              <w:spacing w:after="0"/>
              <w:jc w:val="center"/>
              <w:rPr>
                <w:rFonts w:asciiTheme="minorHAnsi" w:hAnsiTheme="minorHAnsi" w:cstheme="minorHAnsi"/>
                <w:sz w:val="22"/>
                <w:szCs w:val="22"/>
              </w:rPr>
            </w:pPr>
          </w:p>
          <w:p w:rsidR="00E60907" w:rsidRPr="006B5A95" w:rsidRDefault="00E60907" w:rsidP="000D3EC2">
            <w:pPr>
              <w:pStyle w:val="cjletrapeque"/>
              <w:spacing w:after="0"/>
              <w:jc w:val="center"/>
              <w:rPr>
                <w:rFonts w:asciiTheme="minorHAnsi" w:hAnsiTheme="minorHAnsi" w:cstheme="minorHAnsi"/>
                <w:sz w:val="22"/>
                <w:szCs w:val="22"/>
              </w:rPr>
            </w:pPr>
            <w:r w:rsidRPr="006B5A95">
              <w:rPr>
                <w:rFonts w:asciiTheme="minorHAnsi" w:hAnsiTheme="minorHAnsi" w:cstheme="minorHAnsi"/>
                <w:sz w:val="22"/>
                <w:szCs w:val="22"/>
              </w:rPr>
              <w:t>____________________________________________</w:t>
            </w:r>
          </w:p>
          <w:p w:rsidR="00E60907" w:rsidRDefault="00E60907" w:rsidP="000D3EC2">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LIC. CLAUDIO RAMÓN GARCÍA OSORIO</w:t>
            </w:r>
          </w:p>
          <w:p w:rsidR="00E60907" w:rsidRDefault="00E60907" w:rsidP="000D3EC2">
            <w:pPr>
              <w:pStyle w:val="cjletrapeque"/>
              <w:spacing w:after="0"/>
              <w:jc w:val="center"/>
              <w:rPr>
                <w:rFonts w:asciiTheme="minorHAnsi" w:hAnsiTheme="minorHAnsi" w:cstheme="minorHAnsi"/>
                <w:b/>
                <w:sz w:val="22"/>
                <w:szCs w:val="22"/>
              </w:rPr>
            </w:pPr>
            <w:r>
              <w:rPr>
                <w:rFonts w:asciiTheme="minorHAnsi" w:hAnsiTheme="minorHAnsi" w:cstheme="minorHAnsi"/>
                <w:b/>
                <w:sz w:val="22"/>
                <w:szCs w:val="22"/>
              </w:rPr>
              <w:t>SUBGERENTE DE ADMINISTRACIÓN INMOBILIARIA</w:t>
            </w:r>
          </w:p>
          <w:p w:rsidR="00E60907" w:rsidRPr="006B5A95" w:rsidRDefault="00E60907" w:rsidP="000D3EC2">
            <w:pPr>
              <w:pStyle w:val="cjletrapeque"/>
              <w:spacing w:after="0"/>
              <w:jc w:val="center"/>
              <w:rPr>
                <w:rFonts w:asciiTheme="minorHAnsi" w:hAnsiTheme="minorHAnsi" w:cstheme="minorHAnsi"/>
                <w:sz w:val="22"/>
                <w:szCs w:val="22"/>
              </w:rPr>
            </w:pPr>
          </w:p>
        </w:tc>
      </w:tr>
    </w:tbl>
    <w:p w:rsidR="00E60907" w:rsidRPr="006B5A95" w:rsidRDefault="00E60907" w:rsidP="00E60907">
      <w:pPr>
        <w:pStyle w:val="cjletrapeque"/>
        <w:spacing w:after="0"/>
        <w:rPr>
          <w:rFonts w:asciiTheme="minorHAnsi" w:hAnsiTheme="minorHAnsi" w:cstheme="minorHAnsi"/>
          <w:i/>
          <w:sz w:val="22"/>
          <w:szCs w:val="22"/>
        </w:rPr>
      </w:pPr>
    </w:p>
    <w:p w:rsidR="00034036" w:rsidRDefault="00034036"/>
    <w:sectPr w:rsidR="00034036" w:rsidSect="00C83D3A">
      <w:headerReference w:type="default" r:id="rId8"/>
      <w:footerReference w:type="default" r:id="rId9"/>
      <w:pgSz w:w="12240" w:h="15840" w:code="1"/>
      <w:pgMar w:top="1803" w:right="1041" w:bottom="1418" w:left="1134" w:header="540" w:footer="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09D" w:rsidRDefault="00B7509D">
      <w:r>
        <w:separator/>
      </w:r>
    </w:p>
  </w:endnote>
  <w:endnote w:type="continuationSeparator" w:id="0">
    <w:p w:rsidR="00B7509D" w:rsidRDefault="00B75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9C" w:rsidRDefault="00E60907">
    <w:pPr>
      <w:pStyle w:val="Piedepgina"/>
      <w:jc w:val="right"/>
    </w:pPr>
    <w:r>
      <w:fldChar w:fldCharType="begin"/>
    </w:r>
    <w:r>
      <w:instrText>PAGE   \* MERGEFORMAT</w:instrText>
    </w:r>
    <w:r>
      <w:fldChar w:fldCharType="separate"/>
    </w:r>
    <w:r w:rsidR="00E76FD4">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09D" w:rsidRDefault="00B7509D">
      <w:r>
        <w:separator/>
      </w:r>
    </w:p>
  </w:footnote>
  <w:footnote w:type="continuationSeparator" w:id="0">
    <w:p w:rsidR="00B7509D" w:rsidRDefault="00B75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F9C" w:rsidRDefault="00E60907" w:rsidP="00CB56ED">
    <w:pPr>
      <w:jc w:val="center"/>
      <w:rPr>
        <w:rFonts w:cs="Arial"/>
        <w:sz w:val="18"/>
        <w:szCs w:val="18"/>
      </w:rPr>
    </w:pPr>
    <w:r>
      <w:rPr>
        <w:noProof/>
        <w:lang w:val="es-MX" w:eastAsia="es-MX"/>
      </w:rPr>
      <w:drawing>
        <wp:anchor distT="0" distB="0" distL="114300" distR="114300" simplePos="0" relativeHeight="251659264" behindDoc="0" locked="0" layoutInCell="1" allowOverlap="1" wp14:anchorId="791549E7" wp14:editId="40C123A5">
          <wp:simplePos x="0" y="0"/>
          <wp:positionH relativeFrom="page">
            <wp:posOffset>2658110</wp:posOffset>
          </wp:positionH>
          <wp:positionV relativeFrom="paragraph">
            <wp:posOffset>62230</wp:posOffset>
          </wp:positionV>
          <wp:extent cx="2519680" cy="61912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CO_DE_MEXICO_logo_horizontal-2X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619125"/>
                  </a:xfrm>
                  <a:prstGeom prst="rect">
                    <a:avLst/>
                  </a:prstGeom>
                </pic:spPr>
              </pic:pic>
            </a:graphicData>
          </a:graphic>
          <wp14:sizeRelH relativeFrom="margin">
            <wp14:pctWidth>0</wp14:pctWidth>
          </wp14:sizeRelH>
          <wp14:sizeRelV relativeFrom="margin">
            <wp14:pctHeight>0</wp14:pctHeight>
          </wp14:sizeRelV>
        </wp:anchor>
      </w:drawing>
    </w:r>
  </w:p>
  <w:p w:rsidR="00065F9C" w:rsidRPr="005B45DF" w:rsidRDefault="00E76FD4" w:rsidP="00CB56ED">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82149"/>
    <w:multiLevelType w:val="hybridMultilevel"/>
    <w:tmpl w:val="26E8EAA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nsid w:val="3EC540D0"/>
    <w:multiLevelType w:val="hybridMultilevel"/>
    <w:tmpl w:val="7436B3DC"/>
    <w:lvl w:ilvl="0" w:tplc="50D6A0B8">
      <w:start w:val="1"/>
      <w:numFmt w:val="lowerLetter"/>
      <w:lvlText w:val="%1)"/>
      <w:lvlJc w:val="left"/>
      <w:pPr>
        <w:ind w:left="644" w:hanging="360"/>
      </w:pPr>
      <w:rPr>
        <w:rFonts w:hint="default"/>
        <w:b/>
      </w:rPr>
    </w:lvl>
    <w:lvl w:ilvl="1" w:tplc="080A0019" w:tentative="1">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2">
    <w:nsid w:val="69DF5610"/>
    <w:multiLevelType w:val="hybridMultilevel"/>
    <w:tmpl w:val="4C3E7108"/>
    <w:lvl w:ilvl="0" w:tplc="50D6A0B8">
      <w:start w:val="1"/>
      <w:numFmt w:val="lowerLetter"/>
      <w:lvlText w:val="%1)"/>
      <w:lvlJc w:val="left"/>
      <w:pPr>
        <w:ind w:left="644" w:hanging="360"/>
      </w:pPr>
      <w:rPr>
        <w:rFonts w:hint="default"/>
        <w:b/>
      </w:rPr>
    </w:lvl>
    <w:lvl w:ilvl="1" w:tplc="72324FD0">
      <w:start w:val="2"/>
      <w:numFmt w:val="lowerLetter"/>
      <w:lvlText w:val="%2)"/>
      <w:lvlJc w:val="left"/>
      <w:pPr>
        <w:ind w:left="1582" w:hanging="360"/>
      </w:pPr>
      <w:rPr>
        <w:rFonts w:hint="default"/>
      </w:r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907"/>
    <w:rsid w:val="00034036"/>
    <w:rsid w:val="00356E7E"/>
    <w:rsid w:val="00363599"/>
    <w:rsid w:val="00537942"/>
    <w:rsid w:val="008F0715"/>
    <w:rsid w:val="009563C8"/>
    <w:rsid w:val="00B65B93"/>
    <w:rsid w:val="00B7509D"/>
    <w:rsid w:val="00E32726"/>
    <w:rsid w:val="00E60907"/>
    <w:rsid w:val="00E76FD4"/>
    <w:rsid w:val="00E90F64"/>
    <w:rsid w:val="00EA5795"/>
    <w:rsid w:val="00ED370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jletrapeque">
    <w:name w:val="cj letra peque"/>
    <w:basedOn w:val="Normal"/>
    <w:rsid w:val="00E60907"/>
    <w:pPr>
      <w:tabs>
        <w:tab w:val="left" w:pos="2000"/>
      </w:tabs>
      <w:overflowPunct w:val="0"/>
      <w:autoSpaceDE w:val="0"/>
      <w:autoSpaceDN w:val="0"/>
      <w:adjustRightInd w:val="0"/>
      <w:spacing w:after="200"/>
      <w:jc w:val="both"/>
      <w:textAlignment w:val="baseline"/>
    </w:pPr>
    <w:rPr>
      <w:rFonts w:ascii="Arial" w:hAnsi="Arial"/>
      <w:sz w:val="18"/>
      <w:szCs w:val="20"/>
    </w:rPr>
  </w:style>
  <w:style w:type="paragraph" w:styleId="Piedepgina">
    <w:name w:val="footer"/>
    <w:basedOn w:val="Normal"/>
    <w:link w:val="PiedepginaCar"/>
    <w:rsid w:val="00E60907"/>
    <w:pPr>
      <w:tabs>
        <w:tab w:val="center" w:pos="4252"/>
        <w:tab w:val="right" w:pos="8504"/>
      </w:tabs>
    </w:pPr>
  </w:style>
  <w:style w:type="character" w:customStyle="1" w:styleId="PiedepginaCar">
    <w:name w:val="Pie de página Car"/>
    <w:basedOn w:val="Fuentedeprrafopredeter"/>
    <w:link w:val="Piedepgina"/>
    <w:rsid w:val="00E60907"/>
    <w:rPr>
      <w:rFonts w:ascii="Times New Roman" w:eastAsia="Times New Roman" w:hAnsi="Times New Roman" w:cs="Times New Roman"/>
      <w:sz w:val="24"/>
      <w:szCs w:val="24"/>
      <w:lang w:val="es-ES" w:eastAsia="es-ES"/>
    </w:rPr>
  </w:style>
  <w:style w:type="paragraph" w:customStyle="1" w:styleId="Entrada">
    <w:name w:val="Entrada"/>
    <w:basedOn w:val="Normal"/>
    <w:rsid w:val="00E60907"/>
    <w:pPr>
      <w:keepNext/>
      <w:keepLines/>
      <w:spacing w:before="240" w:after="120"/>
      <w:jc w:val="both"/>
    </w:pPr>
    <w:rPr>
      <w:rFonts w:ascii="Arial Narrow" w:hAnsi="Arial Narrow" w:cs="Arial"/>
      <w:b/>
      <w:sz w:val="20"/>
      <w:szCs w:val="20"/>
      <w:u w:val="single"/>
      <w:lang w:val="es-MX" w:eastAsia="es-MX"/>
    </w:rPr>
  </w:style>
  <w:style w:type="table" w:styleId="Tablaconcuadrcula">
    <w:name w:val="Table Grid"/>
    <w:basedOn w:val="Tablanormal"/>
    <w:uiPriority w:val="59"/>
    <w:rsid w:val="00E60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0907"/>
    <w:pPr>
      <w:ind w:left="720"/>
      <w:contextualSpacing/>
    </w:pPr>
  </w:style>
  <w:style w:type="paragraph" w:customStyle="1" w:styleId="cjinciso3">
    <w:name w:val="cj inciso 3"/>
    <w:link w:val="cjinciso3Car"/>
    <w:rsid w:val="00E60907"/>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link w:val="cjinciso3"/>
    <w:rsid w:val="00E60907"/>
    <w:rPr>
      <w:rFonts w:ascii="Arial" w:eastAsia="Times New Roman" w:hAnsi="Arial" w:cs="Arial"/>
      <w:szCs w:val="20"/>
      <w:lang w:val="es-ES" w:eastAsia="es-ES"/>
    </w:rPr>
  </w:style>
  <w:style w:type="paragraph" w:customStyle="1" w:styleId="cjminusculas">
    <w:name w:val="cj minusculas"/>
    <w:basedOn w:val="Normal"/>
    <w:rsid w:val="00E60907"/>
    <w:pPr>
      <w:tabs>
        <w:tab w:val="num" w:pos="644"/>
        <w:tab w:val="left" w:pos="2000"/>
      </w:tabs>
      <w:overflowPunct w:val="0"/>
      <w:autoSpaceDE w:val="0"/>
      <w:autoSpaceDN w:val="0"/>
      <w:adjustRightInd w:val="0"/>
      <w:spacing w:after="200"/>
      <w:ind w:left="644" w:hanging="360"/>
      <w:jc w:val="both"/>
      <w:textAlignment w:val="baseline"/>
    </w:pPr>
    <w:rPr>
      <w:rFonts w:ascii="Arial" w:hAnsi="Arial"/>
      <w:sz w:val="22"/>
      <w:szCs w:val="20"/>
    </w:rPr>
  </w:style>
  <w:style w:type="paragraph" w:customStyle="1" w:styleId="cjtextonumeral1">
    <w:name w:val="cj texto numeral 1"/>
    <w:basedOn w:val="Normal"/>
    <w:rsid w:val="00E60907"/>
    <w:pPr>
      <w:overflowPunct w:val="0"/>
      <w:autoSpaceDE w:val="0"/>
      <w:autoSpaceDN w:val="0"/>
      <w:adjustRightInd w:val="0"/>
      <w:spacing w:after="200"/>
      <w:ind w:left="567"/>
      <w:jc w:val="both"/>
      <w:textAlignment w:val="baseline"/>
    </w:pPr>
    <w:rPr>
      <w:rFonts w:ascii="Arial" w:hAnsi="Arial"/>
      <w:sz w:val="22"/>
      <w:szCs w:val="20"/>
    </w:rPr>
  </w:style>
  <w:style w:type="paragraph" w:customStyle="1" w:styleId="cjsubinciso">
    <w:name w:val="cj subinciso"/>
    <w:basedOn w:val="Normal"/>
    <w:rsid w:val="00E60907"/>
    <w:pPr>
      <w:overflowPunct w:val="0"/>
      <w:autoSpaceDE w:val="0"/>
      <w:autoSpaceDN w:val="0"/>
      <w:adjustRightInd w:val="0"/>
      <w:spacing w:after="200"/>
      <w:ind w:left="1134" w:hanging="425"/>
      <w:jc w:val="both"/>
      <w:textAlignment w:val="baseline"/>
    </w:pPr>
    <w:rPr>
      <w:rFonts w:ascii="Arial" w:hAnsi="Arial"/>
      <w:noProof/>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90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jletrapeque">
    <w:name w:val="cj letra peque"/>
    <w:basedOn w:val="Normal"/>
    <w:rsid w:val="00E60907"/>
    <w:pPr>
      <w:tabs>
        <w:tab w:val="left" w:pos="2000"/>
      </w:tabs>
      <w:overflowPunct w:val="0"/>
      <w:autoSpaceDE w:val="0"/>
      <w:autoSpaceDN w:val="0"/>
      <w:adjustRightInd w:val="0"/>
      <w:spacing w:after="200"/>
      <w:jc w:val="both"/>
      <w:textAlignment w:val="baseline"/>
    </w:pPr>
    <w:rPr>
      <w:rFonts w:ascii="Arial" w:hAnsi="Arial"/>
      <w:sz w:val="18"/>
      <w:szCs w:val="20"/>
    </w:rPr>
  </w:style>
  <w:style w:type="paragraph" w:styleId="Piedepgina">
    <w:name w:val="footer"/>
    <w:basedOn w:val="Normal"/>
    <w:link w:val="PiedepginaCar"/>
    <w:rsid w:val="00E60907"/>
    <w:pPr>
      <w:tabs>
        <w:tab w:val="center" w:pos="4252"/>
        <w:tab w:val="right" w:pos="8504"/>
      </w:tabs>
    </w:pPr>
  </w:style>
  <w:style w:type="character" w:customStyle="1" w:styleId="PiedepginaCar">
    <w:name w:val="Pie de página Car"/>
    <w:basedOn w:val="Fuentedeprrafopredeter"/>
    <w:link w:val="Piedepgina"/>
    <w:rsid w:val="00E60907"/>
    <w:rPr>
      <w:rFonts w:ascii="Times New Roman" w:eastAsia="Times New Roman" w:hAnsi="Times New Roman" w:cs="Times New Roman"/>
      <w:sz w:val="24"/>
      <w:szCs w:val="24"/>
      <w:lang w:val="es-ES" w:eastAsia="es-ES"/>
    </w:rPr>
  </w:style>
  <w:style w:type="paragraph" w:customStyle="1" w:styleId="Entrada">
    <w:name w:val="Entrada"/>
    <w:basedOn w:val="Normal"/>
    <w:rsid w:val="00E60907"/>
    <w:pPr>
      <w:keepNext/>
      <w:keepLines/>
      <w:spacing w:before="240" w:after="120"/>
      <w:jc w:val="both"/>
    </w:pPr>
    <w:rPr>
      <w:rFonts w:ascii="Arial Narrow" w:hAnsi="Arial Narrow" w:cs="Arial"/>
      <w:b/>
      <w:sz w:val="20"/>
      <w:szCs w:val="20"/>
      <w:u w:val="single"/>
      <w:lang w:val="es-MX" w:eastAsia="es-MX"/>
    </w:rPr>
  </w:style>
  <w:style w:type="table" w:styleId="Tablaconcuadrcula">
    <w:name w:val="Table Grid"/>
    <w:basedOn w:val="Tablanormal"/>
    <w:uiPriority w:val="59"/>
    <w:rsid w:val="00E60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0907"/>
    <w:pPr>
      <w:ind w:left="720"/>
      <w:contextualSpacing/>
    </w:pPr>
  </w:style>
  <w:style w:type="paragraph" w:customStyle="1" w:styleId="cjinciso3">
    <w:name w:val="cj inciso 3"/>
    <w:link w:val="cjinciso3Car"/>
    <w:rsid w:val="00E60907"/>
    <w:pPr>
      <w:tabs>
        <w:tab w:val="num" w:pos="1497"/>
      </w:tabs>
      <w:spacing w:line="240" w:lineRule="auto"/>
      <w:ind w:left="1497" w:hanging="360"/>
      <w:jc w:val="both"/>
    </w:pPr>
    <w:rPr>
      <w:rFonts w:ascii="Arial" w:eastAsia="Times New Roman" w:hAnsi="Arial" w:cs="Arial"/>
      <w:szCs w:val="20"/>
      <w:lang w:val="es-ES" w:eastAsia="es-ES"/>
    </w:rPr>
  </w:style>
  <w:style w:type="character" w:customStyle="1" w:styleId="cjinciso3Car">
    <w:name w:val="cj inciso 3 Car"/>
    <w:link w:val="cjinciso3"/>
    <w:rsid w:val="00E60907"/>
    <w:rPr>
      <w:rFonts w:ascii="Arial" w:eastAsia="Times New Roman" w:hAnsi="Arial" w:cs="Arial"/>
      <w:szCs w:val="20"/>
      <w:lang w:val="es-ES" w:eastAsia="es-ES"/>
    </w:rPr>
  </w:style>
  <w:style w:type="paragraph" w:customStyle="1" w:styleId="cjminusculas">
    <w:name w:val="cj minusculas"/>
    <w:basedOn w:val="Normal"/>
    <w:rsid w:val="00E60907"/>
    <w:pPr>
      <w:tabs>
        <w:tab w:val="num" w:pos="644"/>
        <w:tab w:val="left" w:pos="2000"/>
      </w:tabs>
      <w:overflowPunct w:val="0"/>
      <w:autoSpaceDE w:val="0"/>
      <w:autoSpaceDN w:val="0"/>
      <w:adjustRightInd w:val="0"/>
      <w:spacing w:after="200"/>
      <w:ind w:left="644" w:hanging="360"/>
      <w:jc w:val="both"/>
      <w:textAlignment w:val="baseline"/>
    </w:pPr>
    <w:rPr>
      <w:rFonts w:ascii="Arial" w:hAnsi="Arial"/>
      <w:sz w:val="22"/>
      <w:szCs w:val="20"/>
    </w:rPr>
  </w:style>
  <w:style w:type="paragraph" w:customStyle="1" w:styleId="cjtextonumeral1">
    <w:name w:val="cj texto numeral 1"/>
    <w:basedOn w:val="Normal"/>
    <w:rsid w:val="00E60907"/>
    <w:pPr>
      <w:overflowPunct w:val="0"/>
      <w:autoSpaceDE w:val="0"/>
      <w:autoSpaceDN w:val="0"/>
      <w:adjustRightInd w:val="0"/>
      <w:spacing w:after="200"/>
      <w:ind w:left="567"/>
      <w:jc w:val="both"/>
      <w:textAlignment w:val="baseline"/>
    </w:pPr>
    <w:rPr>
      <w:rFonts w:ascii="Arial" w:hAnsi="Arial"/>
      <w:sz w:val="22"/>
      <w:szCs w:val="20"/>
    </w:rPr>
  </w:style>
  <w:style w:type="paragraph" w:customStyle="1" w:styleId="cjsubinciso">
    <w:name w:val="cj subinciso"/>
    <w:basedOn w:val="Normal"/>
    <w:rsid w:val="00E60907"/>
    <w:pPr>
      <w:overflowPunct w:val="0"/>
      <w:autoSpaceDE w:val="0"/>
      <w:autoSpaceDN w:val="0"/>
      <w:adjustRightInd w:val="0"/>
      <w:spacing w:after="200"/>
      <w:ind w:left="1134" w:hanging="425"/>
      <w:jc w:val="both"/>
      <w:textAlignment w:val="baseline"/>
    </w:pPr>
    <w:rPr>
      <w:rFonts w:ascii="Arial" w:hAnsi="Arial"/>
      <w:noProof/>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1942</Words>
  <Characters>10682</Characters>
  <Application>Microsoft Office Word</Application>
  <DocSecurity>4</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Banco de México</Company>
  <LinksUpToDate>false</LinksUpToDate>
  <CharactersWithSpaces>12599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D11463</dc:creator>
  <cp:lastModifiedBy>Banxico</cp:lastModifiedBy>
  <cp:revision>2</cp:revision>
  <cp:lastPrinted>2013-07-17T22:20:00Z</cp:lastPrinted>
  <dcterms:created xsi:type="dcterms:W3CDTF">2013-07-17T22:25:00Z</dcterms:created>
  <dcterms:modified xsi:type="dcterms:W3CDTF">2013-07-17T22:25:00Z</dcterms:modified>
</cp:coreProperties>
</file>